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0DC7B">
      <w:pPr>
        <w:widowControl w:val="0"/>
        <w:overflowPunct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pacing w:val="20"/>
          <w:sz w:val="40"/>
          <w:szCs w:val="40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pacing w:val="20"/>
          <w:sz w:val="40"/>
          <w:szCs w:val="40"/>
          <w:highlight w:val="none"/>
        </w:rPr>
        <w:t>山东师范大学招标采购项目需求公示表</w:t>
      </w:r>
    </w:p>
    <w:p w14:paraId="1B47094B">
      <w:pPr>
        <w:rPr>
          <w:rFonts w:hint="default" w:ascii="宋体" w:hAnsi="宋体" w:eastAsia="宋体" w:cs="宋体"/>
          <w:b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编号:SDSL-202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-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113</w:t>
      </w:r>
    </w:p>
    <w:tbl>
      <w:tblPr>
        <w:tblStyle w:val="8"/>
        <w:tblW w:w="13812" w:type="dxa"/>
        <w:tblInd w:w="-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61"/>
        <w:gridCol w:w="2584"/>
        <w:gridCol w:w="1119"/>
        <w:gridCol w:w="1827"/>
        <w:gridCol w:w="2126"/>
        <w:gridCol w:w="2605"/>
        <w:gridCol w:w="2790"/>
      </w:tblGrid>
      <w:tr w14:paraId="13C90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13812" w:type="dxa"/>
            <w:gridSpan w:val="7"/>
            <w:shd w:val="clear" w:color="auto" w:fill="FFFFFF"/>
            <w:vAlign w:val="center"/>
          </w:tcPr>
          <w:p w14:paraId="0F3C34FA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基本情况</w:t>
            </w:r>
          </w:p>
        </w:tc>
      </w:tr>
      <w:tr w14:paraId="73713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3345" w:type="dxa"/>
            <w:gridSpan w:val="2"/>
            <w:shd w:val="clear" w:color="auto" w:fill="FFFFFF"/>
            <w:vAlign w:val="center"/>
          </w:tcPr>
          <w:p w14:paraId="230B2D39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10467" w:type="dxa"/>
            <w:gridSpan w:val="5"/>
            <w:shd w:val="clear" w:color="auto" w:fill="FFFFFF"/>
            <w:vAlign w:val="center"/>
          </w:tcPr>
          <w:p w14:paraId="7ED2AE2F">
            <w:pPr>
              <w:pStyle w:val="20"/>
              <w:overflowPunct w:val="0"/>
              <w:spacing w:line="40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color w:val="auto"/>
                <w:sz w:val="24"/>
                <w:lang w:eastAsia="zh-CN"/>
              </w:rPr>
              <w:t>山东师范大学2025年信息办智算平台采购项目</w:t>
            </w:r>
          </w:p>
        </w:tc>
      </w:tr>
      <w:tr w14:paraId="2BA13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3345" w:type="dxa"/>
            <w:gridSpan w:val="2"/>
            <w:shd w:val="clear" w:color="auto" w:fill="FFFFFF"/>
            <w:vAlign w:val="center"/>
          </w:tcPr>
          <w:p w14:paraId="584CF049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项目主管单位</w:t>
            </w:r>
          </w:p>
        </w:tc>
        <w:tc>
          <w:tcPr>
            <w:tcW w:w="10467" w:type="dxa"/>
            <w:gridSpan w:val="5"/>
            <w:shd w:val="clear" w:color="auto" w:fill="FFFFFF"/>
            <w:vAlign w:val="center"/>
          </w:tcPr>
          <w:p w14:paraId="1AAAF5B7">
            <w:pPr>
              <w:pStyle w:val="20"/>
              <w:overflowPunct w:val="0"/>
              <w:spacing w:line="40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信息化工作办公室</w:t>
            </w:r>
          </w:p>
        </w:tc>
      </w:tr>
      <w:tr w14:paraId="2F318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3345" w:type="dxa"/>
            <w:gridSpan w:val="2"/>
            <w:shd w:val="clear" w:color="auto" w:fill="FFFFFF"/>
            <w:vAlign w:val="center"/>
          </w:tcPr>
          <w:p w14:paraId="627F65E3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第三方咨询服务单位</w:t>
            </w:r>
          </w:p>
        </w:tc>
        <w:tc>
          <w:tcPr>
            <w:tcW w:w="10467" w:type="dxa"/>
            <w:gridSpan w:val="5"/>
            <w:shd w:val="clear" w:color="auto" w:fill="FFFFFF"/>
            <w:vAlign w:val="center"/>
          </w:tcPr>
          <w:p w14:paraId="4C7492D3">
            <w:pPr>
              <w:pStyle w:val="20"/>
              <w:overflowPunct w:val="0"/>
              <w:spacing w:line="40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</w:rPr>
              <w:t>山东善立招标有限公司</w:t>
            </w:r>
          </w:p>
        </w:tc>
      </w:tr>
      <w:tr w14:paraId="44B5B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13812" w:type="dxa"/>
            <w:gridSpan w:val="7"/>
            <w:shd w:val="clear" w:color="auto" w:fill="FFFFFF"/>
            <w:vAlign w:val="center"/>
          </w:tcPr>
          <w:p w14:paraId="1B4517FB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bidi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项目信息</w:t>
            </w:r>
          </w:p>
        </w:tc>
      </w:tr>
      <w:tr w14:paraId="787BE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761" w:type="dxa"/>
            <w:shd w:val="clear" w:color="auto" w:fill="FFFFFF"/>
            <w:vAlign w:val="center"/>
          </w:tcPr>
          <w:p w14:paraId="096D39B9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包号</w:t>
            </w:r>
          </w:p>
        </w:tc>
        <w:tc>
          <w:tcPr>
            <w:tcW w:w="2584" w:type="dxa"/>
            <w:shd w:val="clear" w:color="auto" w:fill="FFFFFF"/>
            <w:vAlign w:val="center"/>
          </w:tcPr>
          <w:p w14:paraId="3E4C30D2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标的名称</w:t>
            </w:r>
          </w:p>
        </w:tc>
        <w:tc>
          <w:tcPr>
            <w:tcW w:w="1119" w:type="dxa"/>
            <w:shd w:val="clear" w:color="auto" w:fill="FFFFFF"/>
            <w:vAlign w:val="center"/>
          </w:tcPr>
          <w:p w14:paraId="0BF9AE20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827" w:type="dxa"/>
            <w:shd w:val="clear" w:color="auto" w:fill="FFFFFF"/>
            <w:vAlign w:val="center"/>
          </w:tcPr>
          <w:p w14:paraId="0499C032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是否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允许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进口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E53281B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是否创新产品</w:t>
            </w:r>
          </w:p>
        </w:tc>
        <w:tc>
          <w:tcPr>
            <w:tcW w:w="2605" w:type="dxa"/>
            <w:shd w:val="clear" w:color="auto" w:fill="FFFFFF"/>
            <w:vAlign w:val="center"/>
          </w:tcPr>
          <w:p w14:paraId="6736731E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是否专门面向中小微或预留份额</w:t>
            </w:r>
          </w:p>
        </w:tc>
        <w:tc>
          <w:tcPr>
            <w:tcW w:w="2790" w:type="dxa"/>
            <w:shd w:val="clear" w:color="auto" w:fill="FFFFFF"/>
            <w:vAlign w:val="center"/>
          </w:tcPr>
          <w:p w14:paraId="0D72643B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预算金额（最高限价）</w:t>
            </w:r>
          </w:p>
        </w:tc>
      </w:tr>
      <w:tr w14:paraId="6A3EE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761" w:type="dxa"/>
            <w:vMerge w:val="restart"/>
            <w:shd w:val="clear" w:color="auto" w:fill="FFFFFF"/>
            <w:vAlign w:val="center"/>
          </w:tcPr>
          <w:p w14:paraId="457F07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A包</w:t>
            </w:r>
          </w:p>
        </w:tc>
        <w:tc>
          <w:tcPr>
            <w:tcW w:w="2584" w:type="dxa"/>
            <w:shd w:val="clear" w:color="auto" w:fill="FFFFFF"/>
            <w:vAlign w:val="center"/>
          </w:tcPr>
          <w:p w14:paraId="354273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人工智能训练节点</w:t>
            </w:r>
          </w:p>
        </w:tc>
        <w:tc>
          <w:tcPr>
            <w:tcW w:w="1119" w:type="dxa"/>
            <w:shd w:val="clear" w:color="auto" w:fill="FFFFFF"/>
            <w:vAlign w:val="center"/>
          </w:tcPr>
          <w:p w14:paraId="516368B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1827" w:type="dxa"/>
            <w:shd w:val="clear" w:color="auto" w:fill="FFFFFF"/>
            <w:vAlign w:val="center"/>
          </w:tcPr>
          <w:p w14:paraId="6DB5B5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EFD51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否</w:t>
            </w:r>
          </w:p>
        </w:tc>
        <w:tc>
          <w:tcPr>
            <w:tcW w:w="2605" w:type="dxa"/>
            <w:shd w:val="clear" w:color="auto" w:fill="FFFFFF"/>
            <w:vAlign w:val="center"/>
          </w:tcPr>
          <w:p w14:paraId="071BBD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否</w:t>
            </w:r>
          </w:p>
        </w:tc>
        <w:tc>
          <w:tcPr>
            <w:tcW w:w="2790" w:type="dxa"/>
            <w:vMerge w:val="restart"/>
            <w:shd w:val="clear" w:color="auto" w:fill="FFFFFF"/>
            <w:vAlign w:val="center"/>
          </w:tcPr>
          <w:p w14:paraId="4E3F37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528万元</w:t>
            </w:r>
          </w:p>
        </w:tc>
      </w:tr>
      <w:tr w14:paraId="0628B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761" w:type="dxa"/>
            <w:vMerge w:val="continue"/>
            <w:shd w:val="clear" w:color="auto" w:fill="FFFFFF"/>
            <w:vAlign w:val="center"/>
          </w:tcPr>
          <w:p w14:paraId="56E48A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FFFFFF"/>
            <w:vAlign w:val="center"/>
          </w:tcPr>
          <w:p w14:paraId="56A269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管理节点</w:t>
            </w:r>
          </w:p>
        </w:tc>
        <w:tc>
          <w:tcPr>
            <w:tcW w:w="1119" w:type="dxa"/>
            <w:shd w:val="clear" w:color="auto" w:fill="FFFFFF"/>
            <w:vAlign w:val="center"/>
          </w:tcPr>
          <w:p w14:paraId="601EEC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1827" w:type="dxa"/>
            <w:shd w:val="clear" w:color="auto" w:fill="FFFFFF"/>
            <w:vAlign w:val="center"/>
          </w:tcPr>
          <w:p w14:paraId="72C27A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9D261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否</w:t>
            </w:r>
          </w:p>
        </w:tc>
        <w:tc>
          <w:tcPr>
            <w:tcW w:w="2605" w:type="dxa"/>
            <w:shd w:val="clear" w:color="auto" w:fill="FFFFFF"/>
            <w:vAlign w:val="center"/>
          </w:tcPr>
          <w:p w14:paraId="5A9308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否</w:t>
            </w:r>
          </w:p>
        </w:tc>
        <w:tc>
          <w:tcPr>
            <w:tcW w:w="2790" w:type="dxa"/>
            <w:vMerge w:val="continue"/>
            <w:shd w:val="clear" w:color="auto" w:fill="FFFFFF"/>
            <w:vAlign w:val="center"/>
          </w:tcPr>
          <w:p w14:paraId="341D22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E14C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761" w:type="dxa"/>
            <w:vMerge w:val="continue"/>
            <w:shd w:val="clear" w:color="auto" w:fill="FFFFFF"/>
            <w:vAlign w:val="center"/>
          </w:tcPr>
          <w:p w14:paraId="289B73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FFFFFF"/>
            <w:vAlign w:val="center"/>
          </w:tcPr>
          <w:p w14:paraId="2DB7B4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人工智能推理节点</w:t>
            </w:r>
          </w:p>
        </w:tc>
        <w:tc>
          <w:tcPr>
            <w:tcW w:w="1119" w:type="dxa"/>
            <w:shd w:val="clear" w:color="auto" w:fill="FFFFFF"/>
            <w:vAlign w:val="center"/>
          </w:tcPr>
          <w:p w14:paraId="326035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1827" w:type="dxa"/>
            <w:shd w:val="clear" w:color="auto" w:fill="FFFFFF"/>
            <w:vAlign w:val="center"/>
          </w:tcPr>
          <w:p w14:paraId="7A3BB2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2F031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否</w:t>
            </w:r>
          </w:p>
        </w:tc>
        <w:tc>
          <w:tcPr>
            <w:tcW w:w="2605" w:type="dxa"/>
            <w:shd w:val="clear" w:color="auto" w:fill="FFFFFF"/>
            <w:vAlign w:val="center"/>
          </w:tcPr>
          <w:p w14:paraId="3C3063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否</w:t>
            </w:r>
          </w:p>
        </w:tc>
        <w:tc>
          <w:tcPr>
            <w:tcW w:w="2790" w:type="dxa"/>
            <w:vMerge w:val="continue"/>
            <w:shd w:val="clear" w:color="auto" w:fill="FFFFFF"/>
            <w:vAlign w:val="center"/>
          </w:tcPr>
          <w:p w14:paraId="29D742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1DA6E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761" w:type="dxa"/>
            <w:vMerge w:val="continue"/>
            <w:shd w:val="clear" w:color="auto" w:fill="FFFFFF"/>
            <w:vAlign w:val="center"/>
          </w:tcPr>
          <w:p w14:paraId="1D78EF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FFFFFF"/>
            <w:vAlign w:val="center"/>
          </w:tcPr>
          <w:p w14:paraId="53EB80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业务面接入交换机</w:t>
            </w:r>
          </w:p>
        </w:tc>
        <w:tc>
          <w:tcPr>
            <w:tcW w:w="1119" w:type="dxa"/>
            <w:shd w:val="clear" w:color="auto" w:fill="FFFFFF"/>
            <w:vAlign w:val="center"/>
          </w:tcPr>
          <w:p w14:paraId="3CCD24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2台</w:t>
            </w:r>
          </w:p>
        </w:tc>
        <w:tc>
          <w:tcPr>
            <w:tcW w:w="1827" w:type="dxa"/>
            <w:shd w:val="clear" w:color="auto" w:fill="FFFFFF"/>
            <w:vAlign w:val="center"/>
          </w:tcPr>
          <w:p w14:paraId="59E79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63825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否</w:t>
            </w:r>
          </w:p>
        </w:tc>
        <w:tc>
          <w:tcPr>
            <w:tcW w:w="2605" w:type="dxa"/>
            <w:shd w:val="clear" w:color="auto" w:fill="FFFFFF"/>
            <w:vAlign w:val="center"/>
          </w:tcPr>
          <w:p w14:paraId="28CAF4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否</w:t>
            </w:r>
          </w:p>
        </w:tc>
        <w:tc>
          <w:tcPr>
            <w:tcW w:w="2790" w:type="dxa"/>
            <w:vMerge w:val="continue"/>
            <w:shd w:val="clear" w:color="auto" w:fill="FFFFFF"/>
            <w:vAlign w:val="center"/>
          </w:tcPr>
          <w:p w14:paraId="11BD04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280B4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761" w:type="dxa"/>
            <w:vMerge w:val="continue"/>
            <w:shd w:val="clear" w:color="auto" w:fill="FFFFFF"/>
            <w:vAlign w:val="center"/>
          </w:tcPr>
          <w:p w14:paraId="60A111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FFFFFF"/>
            <w:vAlign w:val="center"/>
          </w:tcPr>
          <w:p w14:paraId="6042D9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管理面接入交换机</w:t>
            </w:r>
          </w:p>
        </w:tc>
        <w:tc>
          <w:tcPr>
            <w:tcW w:w="1119" w:type="dxa"/>
            <w:shd w:val="clear" w:color="auto" w:fill="FFFFFF"/>
            <w:vAlign w:val="center"/>
          </w:tcPr>
          <w:p w14:paraId="673C9A9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1台</w:t>
            </w:r>
          </w:p>
        </w:tc>
        <w:tc>
          <w:tcPr>
            <w:tcW w:w="1827" w:type="dxa"/>
            <w:shd w:val="clear" w:color="auto" w:fill="FFFFFF"/>
            <w:vAlign w:val="center"/>
          </w:tcPr>
          <w:p w14:paraId="45275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A5519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否</w:t>
            </w:r>
          </w:p>
        </w:tc>
        <w:tc>
          <w:tcPr>
            <w:tcW w:w="2605" w:type="dxa"/>
            <w:shd w:val="clear" w:color="auto" w:fill="FFFFFF"/>
            <w:vAlign w:val="center"/>
          </w:tcPr>
          <w:p w14:paraId="6FFE6D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否</w:t>
            </w:r>
          </w:p>
        </w:tc>
        <w:tc>
          <w:tcPr>
            <w:tcW w:w="2790" w:type="dxa"/>
            <w:vMerge w:val="continue"/>
            <w:shd w:val="clear" w:color="auto" w:fill="FFFFFF"/>
            <w:vAlign w:val="center"/>
          </w:tcPr>
          <w:p w14:paraId="392960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58C7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761" w:type="dxa"/>
            <w:vMerge w:val="restart"/>
            <w:shd w:val="clear" w:color="auto" w:fill="FFFFFF"/>
            <w:vAlign w:val="center"/>
          </w:tcPr>
          <w:p w14:paraId="1A86C5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B包</w:t>
            </w:r>
          </w:p>
        </w:tc>
        <w:tc>
          <w:tcPr>
            <w:tcW w:w="2584" w:type="dxa"/>
            <w:shd w:val="clear" w:color="auto" w:fill="FFFFFF"/>
            <w:vAlign w:val="center"/>
          </w:tcPr>
          <w:p w14:paraId="4321FF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人工智能推理节点</w:t>
            </w:r>
          </w:p>
        </w:tc>
        <w:tc>
          <w:tcPr>
            <w:tcW w:w="1119" w:type="dxa"/>
            <w:shd w:val="clear" w:color="auto" w:fill="FFFFFF"/>
            <w:vAlign w:val="center"/>
          </w:tcPr>
          <w:p w14:paraId="639FD3F5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3台</w:t>
            </w:r>
          </w:p>
        </w:tc>
        <w:tc>
          <w:tcPr>
            <w:tcW w:w="1827" w:type="dxa"/>
            <w:shd w:val="clear" w:color="auto" w:fill="FFFFFF"/>
            <w:vAlign w:val="center"/>
          </w:tcPr>
          <w:p w14:paraId="6F7E5B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B1924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2605" w:type="dxa"/>
            <w:shd w:val="clear" w:color="auto" w:fill="FFFFFF"/>
            <w:vAlign w:val="center"/>
          </w:tcPr>
          <w:p w14:paraId="2EB954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2790" w:type="dxa"/>
            <w:vMerge w:val="restart"/>
            <w:shd w:val="clear" w:color="auto" w:fill="FFFFFF"/>
            <w:vAlign w:val="center"/>
          </w:tcPr>
          <w:p w14:paraId="0EB8EA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470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万元</w:t>
            </w:r>
          </w:p>
        </w:tc>
      </w:tr>
      <w:tr w14:paraId="10227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761" w:type="dxa"/>
            <w:vMerge w:val="continue"/>
            <w:shd w:val="clear" w:color="auto" w:fill="FFFFFF"/>
            <w:vAlign w:val="center"/>
          </w:tcPr>
          <w:p w14:paraId="4E0DA6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584" w:type="dxa"/>
            <w:shd w:val="clear" w:color="auto" w:fill="FFFFFF"/>
            <w:vAlign w:val="center"/>
          </w:tcPr>
          <w:p w14:paraId="4C003A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AI全闪存储</w:t>
            </w:r>
          </w:p>
        </w:tc>
        <w:tc>
          <w:tcPr>
            <w:tcW w:w="1119" w:type="dxa"/>
            <w:shd w:val="clear" w:color="auto" w:fill="FFFFFF"/>
            <w:vAlign w:val="center"/>
          </w:tcPr>
          <w:p w14:paraId="031A16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1套</w:t>
            </w:r>
          </w:p>
        </w:tc>
        <w:tc>
          <w:tcPr>
            <w:tcW w:w="1827" w:type="dxa"/>
            <w:shd w:val="clear" w:color="auto" w:fill="FFFFFF"/>
            <w:vAlign w:val="center"/>
          </w:tcPr>
          <w:p w14:paraId="39D7EC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B7F79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2605" w:type="dxa"/>
            <w:shd w:val="clear" w:color="auto" w:fill="FFFFFF"/>
            <w:vAlign w:val="center"/>
          </w:tcPr>
          <w:p w14:paraId="135BD3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2790" w:type="dxa"/>
            <w:vMerge w:val="continue"/>
            <w:shd w:val="clear" w:color="auto" w:fill="FFFFFF"/>
            <w:vAlign w:val="center"/>
          </w:tcPr>
          <w:p w14:paraId="49CEDC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095F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13812" w:type="dxa"/>
            <w:gridSpan w:val="7"/>
            <w:shd w:val="clear" w:color="auto" w:fill="FFFFFF"/>
            <w:vAlign w:val="center"/>
          </w:tcPr>
          <w:p w14:paraId="2F1E18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zh-TW" w:eastAsia="zh-TW" w:bidi="zh-TW"/>
              </w:rPr>
              <w:t>需求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zh-TW" w:bidi="zh-TW"/>
              </w:rPr>
              <w:t>描述</w:t>
            </w:r>
          </w:p>
        </w:tc>
      </w:tr>
      <w:tr w14:paraId="2CDFE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3345" w:type="dxa"/>
            <w:gridSpan w:val="2"/>
            <w:shd w:val="clear" w:color="auto" w:fill="FFFFFF"/>
            <w:vAlign w:val="center"/>
          </w:tcPr>
          <w:p w14:paraId="04AA0036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技术要求</w:t>
            </w:r>
          </w:p>
        </w:tc>
        <w:tc>
          <w:tcPr>
            <w:tcW w:w="10467" w:type="dxa"/>
            <w:gridSpan w:val="5"/>
            <w:shd w:val="clear" w:color="auto" w:fill="FFFFFF"/>
            <w:vAlign w:val="center"/>
          </w:tcPr>
          <w:p w14:paraId="08D6D5E3">
            <w:pPr>
              <w:pStyle w:val="2"/>
              <w:spacing w:line="360" w:lineRule="auto"/>
              <w:ind w:left="0" w:leftChars="0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zh-CN" w:eastAsia="zh-CN" w:bidi="ar-SA"/>
              </w:rPr>
              <w:t>一、项目概况</w:t>
            </w:r>
          </w:p>
          <w:p w14:paraId="34D816C5">
            <w:pPr>
              <w:spacing w:line="360" w:lineRule="auto"/>
              <w:rPr>
                <w:rFonts w:hint="eastAsia" w:ascii="宋体" w:hAnsi="宋体" w:eastAsia="宋体" w:cs="宋体"/>
                <w:i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4"/>
                <w:szCs w:val="24"/>
                <w:lang w:val="zh-CN"/>
              </w:rPr>
              <w:t>本项目为山东师范大学2025年信息办智算平台采购项目，</w:t>
            </w:r>
            <w:r>
              <w:rPr>
                <w:rFonts w:hint="eastAsia" w:ascii="宋体" w:hAnsi="宋体" w:eastAsia="宋体" w:cs="宋体"/>
                <w:iCs/>
                <w:color w:val="auto"/>
                <w:sz w:val="24"/>
                <w:szCs w:val="24"/>
              </w:rPr>
              <w:t>共</w:t>
            </w:r>
            <w:r>
              <w:rPr>
                <w:rFonts w:hint="eastAsia" w:ascii="宋体" w:hAnsi="宋体" w:eastAsia="宋体" w:cs="宋体"/>
                <w:iCs/>
                <w:color w:val="auto"/>
                <w:sz w:val="24"/>
                <w:szCs w:val="24"/>
                <w:lang w:val="en-US" w:eastAsia="zh-CN"/>
              </w:rPr>
              <w:t>两</w:t>
            </w:r>
            <w:r>
              <w:rPr>
                <w:rFonts w:hint="eastAsia" w:ascii="宋体" w:hAnsi="宋体" w:eastAsia="宋体" w:cs="宋体"/>
                <w:iCs/>
                <w:color w:val="auto"/>
                <w:sz w:val="24"/>
                <w:szCs w:val="24"/>
              </w:rPr>
              <w:t>个包，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人工智能训练节点等，</w:t>
            </w:r>
            <w:r>
              <w:rPr>
                <w:rFonts w:hint="eastAsia" w:ascii="宋体" w:hAnsi="宋体" w:eastAsia="宋体" w:cs="宋体"/>
                <w:iCs/>
                <w:color w:val="auto"/>
                <w:sz w:val="24"/>
                <w:szCs w:val="24"/>
                <w:lang w:val="zh-CN"/>
              </w:rPr>
              <w:t>预算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528万元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B包人工智能推理节点等，</w:t>
            </w:r>
            <w:r>
              <w:rPr>
                <w:rFonts w:hint="eastAsia" w:ascii="宋体" w:hAnsi="宋体" w:eastAsia="宋体" w:cs="宋体"/>
                <w:iCs/>
                <w:color w:val="auto"/>
                <w:sz w:val="24"/>
                <w:szCs w:val="24"/>
                <w:lang w:val="zh-CN"/>
              </w:rPr>
              <w:t>预算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470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万元</w:t>
            </w:r>
            <w:r>
              <w:rPr>
                <w:rFonts w:hint="eastAsia" w:ascii="宋体" w:hAnsi="宋体" w:eastAsia="宋体" w:cs="宋体"/>
                <w:iCs/>
                <w:color w:val="auto"/>
                <w:sz w:val="24"/>
                <w:szCs w:val="24"/>
                <w:lang w:val="zh-CN"/>
              </w:rPr>
              <w:t>。</w:t>
            </w:r>
          </w:p>
          <w:p w14:paraId="60EE4AF9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zh-CN"/>
              </w:rPr>
              <w:t>二、技术要求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30BF1045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详见附件详细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指标需求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。</w:t>
            </w:r>
          </w:p>
        </w:tc>
      </w:tr>
      <w:tr w14:paraId="79D88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3345" w:type="dxa"/>
            <w:gridSpan w:val="2"/>
            <w:shd w:val="clear" w:color="auto" w:fill="FFFFFF"/>
            <w:vAlign w:val="center"/>
          </w:tcPr>
          <w:p w14:paraId="25313CC1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商务要求</w:t>
            </w:r>
          </w:p>
        </w:tc>
        <w:tc>
          <w:tcPr>
            <w:tcW w:w="10467" w:type="dxa"/>
            <w:gridSpan w:val="5"/>
            <w:shd w:val="clear" w:color="auto" w:fill="FFFFFF"/>
            <w:vAlign w:val="center"/>
          </w:tcPr>
          <w:p w14:paraId="0745BF33"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交货期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：</w:t>
            </w:r>
          </w:p>
          <w:p w14:paraId="2DBB6A0F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国产设备自合同签订之日起30天内供货、部署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安装调试完毕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  <w:p w14:paraId="790C834C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2、交付地点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：设备全部到达山东师范大学校内指定地点。</w:t>
            </w:r>
          </w:p>
          <w:p w14:paraId="70160167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3、付款条件：</w:t>
            </w:r>
            <w:bookmarkStart w:id="0" w:name="_GoBack"/>
            <w:bookmarkEnd w:id="0"/>
          </w:p>
          <w:p w14:paraId="458220FA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国产设备：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中标人供货并安装调试完成，使用单位初步验收合格后支付合同价款的60%；经招标人验收合格后，招标人支付至合同价款的100%。</w:t>
            </w:r>
          </w:p>
          <w:p w14:paraId="2AA95083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4、验收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：</w:t>
            </w:r>
          </w:p>
          <w:p w14:paraId="3C827D45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招标人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根据《山东省政府采购履约验收管理办法》及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招标人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要求进行验收。</w:t>
            </w:r>
          </w:p>
          <w:p w14:paraId="750C8513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4.1货物运抵现场后，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招标人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将对货物数量、质量、规格等进行检验。如发现货物和规格或者两者都与招标文件、投标文件、合同不符，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招标人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有权限根据检验结果要求中标人立即更换或者提出索赔要求。</w:t>
            </w:r>
          </w:p>
          <w:p w14:paraId="7C5A0EE7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4.2货物由中标人进行安装，完毕后，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招标人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应对货物的数量、质量、规格、性能等进行详细而全面的检验。安装完毕7日后，证明货物以及安装质量无任何问题，由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招标人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组成的验收小组签署验收报告，作为付款凭据之一。</w:t>
            </w:r>
          </w:p>
          <w:p w14:paraId="25FAAE6D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5、质量保证期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：</w:t>
            </w:r>
          </w:p>
          <w:p w14:paraId="1D0264D7"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5.1质保期：国产设备原厂质保3年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质保期内免费升级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清单技术规格要求中有要求的按照清单要求执行）。国家主管部门或者行业标准对货物本身有更高要求的，从其规定并在合同中约定，投标人亦可提报更长的质保期，质保及售后须注明质保主体（原厂或投标人）。</w:t>
            </w:r>
          </w:p>
          <w:p w14:paraId="7FE34C64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5.2质量保证期内，如果证实货物是有缺陷的，包括潜在的缺陷或者使用不符合要求的材料等，中标人应立即免费维修或者更换有缺陷的货物或者部件，保证达到合同规定的技术以及性能要求。如果中标人在收到通知后5天内没有弥补缺陷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招标人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可自行采取必要的补救措施，但风险和费用由中标人承担，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招标人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同时保留通过法律途径进行索赔的权利。</w:t>
            </w:r>
          </w:p>
          <w:p w14:paraId="4DF692AF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6、售后服务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：</w:t>
            </w:r>
          </w:p>
          <w:p w14:paraId="0766353F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6.1投标人应提供及时周到的售后服务，应保证每季度至少一次上门回访、检修。</w:t>
            </w:r>
          </w:p>
          <w:p w14:paraId="7715540D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6.2投标人自报响应、维修时间以及备品备件情况。</w:t>
            </w:r>
          </w:p>
          <w:p w14:paraId="11503F3A">
            <w:pPr>
              <w:pStyle w:val="22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培训</w:t>
            </w:r>
          </w:p>
          <w:p w14:paraId="12F72354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投标人提供技术培训，包括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设备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使用维护、工作原理、基本操作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常见故障处理等。</w:t>
            </w:r>
          </w:p>
        </w:tc>
      </w:tr>
      <w:tr w14:paraId="59BA6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3345" w:type="dxa"/>
            <w:gridSpan w:val="2"/>
            <w:shd w:val="clear" w:color="auto" w:fill="FFFFFF"/>
            <w:vAlign w:val="center"/>
          </w:tcPr>
          <w:p w14:paraId="03D708EC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政策要求</w:t>
            </w:r>
          </w:p>
        </w:tc>
        <w:tc>
          <w:tcPr>
            <w:tcW w:w="10467" w:type="dxa"/>
            <w:gridSpan w:val="5"/>
            <w:shd w:val="clear" w:color="auto" w:fill="FFFFFF"/>
            <w:vAlign w:val="center"/>
          </w:tcPr>
          <w:p w14:paraId="6B7DF204">
            <w:pPr>
              <w:pStyle w:val="2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严格落实财政部、工业和信息化部《政府采购促进中小企业发展管理办法》（财库〔2020〕46号）、《财政部 司法部关于政府采购支持监狱企业发展有关问题的通知》（财库〔2014〕68号）、《关于促进残疾人就业政府采购政策的通知》（财库[2017]141号）、《关于进一步发挥政府采购政策功能支持中小企业发展的通知》、《关于调整优化节能产品、环境标志产品政府采购执行机制的通知》、《关于印发节能产品政府采购品目清单的通知》、《关于印发环境标志产品政府采购品目清单的通知》采购绿色建材、推广节能建筑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国家最新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政府采购政策。</w:t>
            </w:r>
          </w:p>
        </w:tc>
      </w:tr>
      <w:tr w14:paraId="53A36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3345" w:type="dxa"/>
            <w:gridSpan w:val="2"/>
            <w:shd w:val="clear" w:color="auto" w:fill="FFFFFF"/>
            <w:vAlign w:val="center"/>
          </w:tcPr>
          <w:p w14:paraId="5F9C60EB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绩效目标</w:t>
            </w:r>
          </w:p>
        </w:tc>
        <w:tc>
          <w:tcPr>
            <w:tcW w:w="10467" w:type="dxa"/>
            <w:gridSpan w:val="5"/>
            <w:shd w:val="clear" w:color="auto" w:fill="FFFFFF"/>
            <w:vAlign w:val="center"/>
          </w:tcPr>
          <w:p w14:paraId="3718F608">
            <w:pPr>
              <w:pStyle w:val="2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支持学校大模型及智能体建设，支持相关学科算力需求。</w:t>
            </w:r>
          </w:p>
        </w:tc>
      </w:tr>
      <w:tr w14:paraId="48A95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3345" w:type="dxa"/>
            <w:gridSpan w:val="2"/>
            <w:shd w:val="clear" w:color="auto" w:fill="FFFFFF"/>
            <w:vAlign w:val="center"/>
          </w:tcPr>
          <w:p w14:paraId="3E237FFE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其他要求</w:t>
            </w:r>
          </w:p>
        </w:tc>
        <w:tc>
          <w:tcPr>
            <w:tcW w:w="10467" w:type="dxa"/>
            <w:gridSpan w:val="5"/>
            <w:shd w:val="clear" w:color="auto" w:fill="FFFFFF"/>
            <w:vAlign w:val="center"/>
          </w:tcPr>
          <w:p w14:paraId="1964C341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A包、B包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投标人资格要求：</w:t>
            </w:r>
          </w:p>
          <w:p w14:paraId="12D1C9F1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（1）符合《中华人民共和国政府采购法》第二十二条的规定。</w:t>
            </w:r>
          </w:p>
          <w:p w14:paraId="323C73F5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2）在“信用中国”（www.creditchina.gov.cn）、中国政府采购网（www.ccgp.gov.cn）、“信用山东”（credit.shandong.gov.cn）等网站中被列入失信被执行人、重大税收违法失信主体、政府采购严重违法失信行为记录名单的投标人，不得参加本次政府采购活动；</w:t>
            </w:r>
          </w:p>
          <w:p w14:paraId="3B5D91A0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（3）单位负责人为同一人或者存在直接控股、管理关系的不同投标人，不得参加同一合同项下（同一包号）的政府采购活动；</w:t>
            </w:r>
          </w:p>
          <w:p w14:paraId="1C2A0E93">
            <w:pPr>
              <w:spacing w:line="360" w:lineRule="auto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（4）本项目不接受联合体投标。</w:t>
            </w:r>
          </w:p>
        </w:tc>
      </w:tr>
    </w:tbl>
    <w:p w14:paraId="7F67AA0F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</w:p>
    <w:p w14:paraId="7EF6A509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</w:p>
    <w:p w14:paraId="7D848C28">
      <w:pPr>
        <w:pStyle w:val="6"/>
        <w:rPr>
          <w:rFonts w:hint="eastAsia"/>
          <w:color w:val="auto"/>
        </w:rPr>
      </w:pPr>
    </w:p>
    <w:p w14:paraId="50260F98">
      <w:pPr>
        <w:rPr>
          <w:rFonts w:hint="eastAsia"/>
          <w:color w:val="auto"/>
        </w:rPr>
      </w:pPr>
    </w:p>
    <w:p w14:paraId="1D898495">
      <w:pPr>
        <w:pStyle w:val="6"/>
        <w:rPr>
          <w:rFonts w:hint="eastAsia"/>
          <w:color w:val="auto"/>
        </w:rPr>
      </w:pPr>
    </w:p>
    <w:p w14:paraId="305F4FEB">
      <w:pPr>
        <w:rPr>
          <w:rFonts w:hint="eastAsia"/>
          <w:color w:val="auto"/>
        </w:rPr>
      </w:pPr>
    </w:p>
    <w:p w14:paraId="15547A8D">
      <w:pPr>
        <w:pStyle w:val="6"/>
        <w:rPr>
          <w:rFonts w:hint="eastAsia"/>
          <w:color w:val="auto"/>
        </w:rPr>
      </w:pPr>
    </w:p>
    <w:p w14:paraId="7BD0192A">
      <w:pPr>
        <w:rPr>
          <w:rFonts w:hint="eastAsia"/>
          <w:color w:val="auto"/>
        </w:rPr>
      </w:pPr>
    </w:p>
    <w:p w14:paraId="7DBDEC4A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附件详细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指标需求</w:t>
      </w:r>
    </w:p>
    <w:p w14:paraId="0D91B44C">
      <w:pPr>
        <w:rPr>
          <w:rFonts w:hint="default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A包人工智能训练节点等，预算528万元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966"/>
        <w:gridCol w:w="573"/>
        <w:gridCol w:w="518"/>
        <w:gridCol w:w="791"/>
        <w:gridCol w:w="763"/>
        <w:gridCol w:w="852"/>
        <w:gridCol w:w="703"/>
        <w:gridCol w:w="7978"/>
      </w:tblGrid>
      <w:tr w14:paraId="0B846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8ABBF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5E6C93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采购标的名称</w:t>
            </w:r>
          </w:p>
        </w:tc>
        <w:tc>
          <w:tcPr>
            <w:tcW w:w="573" w:type="dxa"/>
            <w:shd w:val="clear" w:color="auto" w:fill="auto"/>
            <w:vAlign w:val="center"/>
          </w:tcPr>
          <w:p w14:paraId="5A3A78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1EE32C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6579F669">
            <w:pP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  <w:t>是否强制节能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312B03F8">
            <w:pP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  <w:t>是否核心产品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6244F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  <w:t>是否接受进口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018A1A5E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  <w:t>重要</w:t>
            </w:r>
          </w:p>
          <w:p w14:paraId="5A87FF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  <w:t>程度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2F43AF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  <w:t>指标需求</w:t>
            </w:r>
          </w:p>
        </w:tc>
      </w:tr>
      <w:tr w14:paraId="7B4EC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restart"/>
            <w:shd w:val="clear" w:color="auto" w:fill="auto"/>
            <w:vAlign w:val="center"/>
          </w:tcPr>
          <w:p w14:paraId="6155A6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66" w:type="dxa"/>
            <w:vMerge w:val="restart"/>
            <w:shd w:val="clear" w:color="auto" w:fill="auto"/>
            <w:vAlign w:val="center"/>
          </w:tcPr>
          <w:p w14:paraId="3FA551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人工智能训练节点</w:t>
            </w:r>
          </w:p>
        </w:tc>
        <w:tc>
          <w:tcPr>
            <w:tcW w:w="573" w:type="dxa"/>
            <w:vMerge w:val="restart"/>
            <w:shd w:val="clear" w:color="auto" w:fill="auto"/>
            <w:vAlign w:val="center"/>
          </w:tcPr>
          <w:p w14:paraId="3E7605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18" w:type="dxa"/>
            <w:vMerge w:val="restart"/>
            <w:shd w:val="clear" w:color="auto" w:fill="auto"/>
            <w:vAlign w:val="center"/>
          </w:tcPr>
          <w:p w14:paraId="277756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791" w:type="dxa"/>
            <w:vMerge w:val="restart"/>
            <w:shd w:val="clear" w:color="auto" w:fill="auto"/>
            <w:vAlign w:val="center"/>
          </w:tcPr>
          <w:p w14:paraId="0C6494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763" w:type="dxa"/>
            <w:vMerge w:val="restart"/>
            <w:shd w:val="clear" w:color="auto" w:fill="auto"/>
            <w:vAlign w:val="center"/>
          </w:tcPr>
          <w:p w14:paraId="4F2695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852" w:type="dxa"/>
            <w:vMerge w:val="restart"/>
            <w:shd w:val="clear" w:color="auto" w:fill="auto"/>
            <w:vAlign w:val="center"/>
          </w:tcPr>
          <w:p w14:paraId="4C1963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182D5B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4DB5A6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采用风冷散热方式，单台提供非稀疏情况下AI算力≥2.5P FLOPS@FP16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。</w:t>
            </w:r>
          </w:p>
        </w:tc>
      </w:tr>
      <w:tr w14:paraId="63FB8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46BA6A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1FB086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401391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66B843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33A8C29A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1E67AA02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379B40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00ABC6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739B0E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机型需满足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安全可靠测评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要求，其CPU及AI处理器均需使用国产芯片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。</w:t>
            </w:r>
          </w:p>
        </w:tc>
      </w:tr>
      <w:tr w14:paraId="77A0A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131766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3795B6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383D9E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5BBA73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41B22D1B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2B60DC51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09B7DA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77731E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23CC6F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、CPU：单机提供4颗ARM处理器；单颗CPU主频≥2.6GHz，核数≥48核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。</w:t>
            </w:r>
          </w:p>
        </w:tc>
      </w:tr>
      <w:tr w14:paraId="1CB46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6AE9D8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0AB791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4522A3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3E44E9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752736E9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7A0D7A97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6CF908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04D0C1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△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7998181B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AI芯片：配置≥8颗AI芯片，8路AI芯片互联总带宽≥390GB/s，单个AI处理器/加速卡支持≥310TFLOPS@FP16算力和≥83TFLOPS@FP32算力，单卡≥64GB HBM高带宽内存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。（提供证明材料）</w:t>
            </w:r>
          </w:p>
        </w:tc>
      </w:tr>
      <w:tr w14:paraId="7FF04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7419B3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635092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55B281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45FCC2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386EEDF5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0C90D2BB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4B064F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45CDC1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42CFEE0E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、内存：配置≥1024GB，单根内存64GB，支持32个内存插槽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。</w:t>
            </w:r>
          </w:p>
        </w:tc>
      </w:tr>
      <w:tr w14:paraId="5907C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2A1B90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3B1FA5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331B1F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3956CF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2B60F3A2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37CF2EED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6D0ACE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6750F6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795AAEFA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、存储：配置≥2块480G SSD,≥2块3.84TBNVMe SSD硬盘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。</w:t>
            </w:r>
          </w:p>
        </w:tc>
      </w:tr>
      <w:tr w14:paraId="1DAEC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3519EF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6AEBA9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44564F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3CB908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38773987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298AE571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175B8B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2B8808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6675772D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、阵列卡：配置1块磁盘阵列卡，缓存4G Cache，支持RAID0/1/5/6/10，配置掉电保护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。</w:t>
            </w:r>
          </w:p>
        </w:tc>
      </w:tr>
      <w:tr w14:paraId="3FB90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5B72A1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1383DB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6A1B82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328C64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02B7232D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3F1E1388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048739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0B537F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6CC6E77D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、网卡：配置2张双口25GE网卡（含25G多模光模块），配置4块双口200GE光网卡（含200G多模光模块及配套线缆）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。</w:t>
            </w:r>
          </w:p>
        </w:tc>
      </w:tr>
      <w:tr w14:paraId="189B3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5BC9B7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5A5BEC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77C601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7A3215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341465CE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0B9C9998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5B6D30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77E74F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34BF4CB1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、电源模块支持热插拔，2+2冗余备份，单电源功率≥2600W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。</w:t>
            </w:r>
          </w:p>
        </w:tc>
      </w:tr>
      <w:tr w14:paraId="5A3AF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7CF952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10F93E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1941C3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00DD9E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41508E49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77C75454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401E0B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50BC92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7D498371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10、节点软件功能：</w:t>
            </w:r>
          </w:p>
          <w:p w14:paraId="0F898EE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10.1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支持异构算力纳管，提供分布式云管理能力。支持统一管理和调度GPU、华为昇腾NPU、寒武纪MLU和海光DCU等多种异构计算设备。</w:t>
            </w:r>
          </w:p>
        </w:tc>
      </w:tr>
      <w:tr w14:paraId="51CA9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1B7AF0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078DD3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4BEDC0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6040A7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1CB8D751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23DC58E0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7CDB4D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4374E3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218E312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10.2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可按照公共资源池、专属资源池的划分资源，并支持将公共资源池、专属资源池以配额的方式分配给用户进行使用，基于资源池可查看当前已分配的队列信息及任务信息。</w:t>
            </w:r>
          </w:p>
        </w:tc>
      </w:tr>
      <w:tr w14:paraId="76D16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5004CD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4D2B49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2CCC16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2A9533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4F4D91AB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52EAD27F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7810BA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50CE86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74ECBDF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10.3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实现队列管理，支持多种建模方式，可针对训练任务分配资源队列及设置训练时长限制，并可按照模型训练、模型推理工作负载进行队列的划分；并可查看当前正在运行的任务数及详情。</w:t>
            </w:r>
          </w:p>
        </w:tc>
      </w:tr>
      <w:tr w14:paraId="2341C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315E67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3563C9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7439EC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60A753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2E8002EF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4544C7F0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01E3C7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07A4E5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7683437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10.4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提供FIFO调度、优先级调度、主导资源调度（DRF）、组调度等调度策略。</w:t>
            </w:r>
          </w:p>
        </w:tc>
      </w:tr>
      <w:tr w14:paraId="08AFB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636190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140370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635041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47A49F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596F510D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5DC10319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236226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595BAD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1554F6D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10.5提供算法管理功能，并支持预置算法、新建算法、导出、编辑及删除等功能，提供算法的镜像管理功能；提供预置算法仓库功能，集成计算机视觉、自然语言处理、自动语音识别、强化学习、机器学习等领域不少于70种集成算法，实现零代码训练、评估和预测。</w:t>
            </w:r>
          </w:p>
        </w:tc>
      </w:tr>
      <w:tr w14:paraId="5F214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1D98B0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5E6A24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37A91D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2A7179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4B194D8A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2B1FF047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515E15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3B9A9B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667BDC1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10.6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支持TensorFlow、PyTorch、Mindspore、Paddlepaddle等异构AI框架，支持单机多卡以及多机多卡分布式并行训练任务。</w:t>
            </w:r>
          </w:p>
        </w:tc>
      </w:tr>
      <w:tr w14:paraId="163DC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4F7E9F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75C38E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13D2AA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1950DA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789F391A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0ABCCF6C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58C501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16FFA4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4B236C6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10.7提供 VSCode功能，支持通过云端环境，进行代码编写、调试和测试，提供WebShell功能，可通过平台进行命令行操作和任务提交。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支持在线代码开发，实现在线模型开发、调试与训练全流程操作，支持训练过程实时监控，并提供可视化工具查看训练过程参数变化。</w:t>
            </w:r>
          </w:p>
        </w:tc>
      </w:tr>
      <w:tr w14:paraId="5C146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10614E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047422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55A2FD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38DF5F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2B6D035A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70D9D8C4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78F1F4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224D81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4864238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10.8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提供训练任务的运行状态查看，包括版本状态、配置参数、日志、资源等信息；支持查看智算平台训练和推理任务信息，以及任务上运行的容器组监控信息，实时跟进任务的运行情况。</w:t>
            </w:r>
          </w:p>
        </w:tc>
      </w:tr>
      <w:tr w14:paraId="66E13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023F92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44F535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28F4CD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533377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7A3BF23E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3210BF05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3D9EBA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6EEFFA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42C8877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10.9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具备模型仓库功能，对平台模型进行统一纳管，支持模型导入、及删除功能，实现在线快速部署。</w:t>
            </w:r>
          </w:p>
        </w:tc>
      </w:tr>
      <w:tr w14:paraId="4022D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1B0F9C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6008EF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59CDC6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37EEE7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7AD4F37F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45572957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1CC59E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3338DD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174A6B4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10.10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实现多维度查看集群及节点内加速卡、CPU、内存和显存等资源的使用情况，支持查看容器组上运行的容器信息和容器监控；支持K8S标准集群的接入和管理。</w:t>
            </w:r>
          </w:p>
        </w:tc>
      </w:tr>
      <w:tr w14:paraId="77AE7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444510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2C0962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20D7C3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5BC19C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374AB322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70E65EF7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5B42C9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121A53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4C073F2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10.11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提供针对平台的操作及接口访问日志的记录功能，提供登录日志、操作日志、服务日志的管理功能，并保存不低于90天。</w:t>
            </w:r>
          </w:p>
        </w:tc>
      </w:tr>
      <w:tr w14:paraId="52011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122A4E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6ED2C8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430B9B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7C5445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06A13D78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6CA5113D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6295BD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7B7FC8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01D19D6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10.12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提供对智算平台内的资源规格进行配置，将加速卡、CPU和内存以合理的比例进行组合配置，分配给租户使用。</w:t>
            </w:r>
          </w:p>
        </w:tc>
      </w:tr>
      <w:tr w14:paraId="04F2B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382E30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71F4C6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1DE832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04C7D9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4E226015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32E83917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334753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4FD588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5DAD076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10.13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平台支持对接开源或商用高性能存储系统，支持存储在线扩展。</w:t>
            </w:r>
          </w:p>
        </w:tc>
      </w:tr>
      <w:tr w14:paraId="046E0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31928C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4A05A1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53C50C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29094A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3C254B51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4176117C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48DBFA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0E39E2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6776A81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10.14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支持虚拟化实例功能，训练卡支持提前切分，推理卡支持静态虚拟化和动态虚拟化能力。</w:t>
            </w:r>
          </w:p>
        </w:tc>
      </w:tr>
      <w:tr w14:paraId="5D7F7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063F55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3DCA58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73A0C2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7D18A9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756C0A7C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086312F0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58F9CD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331D9B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25366B2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10.15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支持通过多个维度对算力实例进行统计，如实例总量、运行中数量、共享/专属资源池任务数量等；支持对用户使用的数据存储进行统计。</w:t>
            </w:r>
          </w:p>
        </w:tc>
      </w:tr>
      <w:tr w14:paraId="401A1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744BBF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4F81F4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0E6592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2594F8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6E4B04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308EBF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700951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0673FA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25FD6528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10.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16系统的实际用户数在5000个以上，系统允许的最大同时在线用户数不少于500个。</w:t>
            </w:r>
          </w:p>
        </w:tc>
      </w:tr>
      <w:tr w14:paraId="12A71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restart"/>
            <w:shd w:val="clear" w:color="auto" w:fill="auto"/>
            <w:vAlign w:val="center"/>
          </w:tcPr>
          <w:p w14:paraId="28CE59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66" w:type="dxa"/>
            <w:vMerge w:val="restart"/>
            <w:shd w:val="clear" w:color="auto" w:fill="auto"/>
            <w:vAlign w:val="center"/>
          </w:tcPr>
          <w:p w14:paraId="5D18DF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管理节点</w:t>
            </w:r>
          </w:p>
        </w:tc>
        <w:tc>
          <w:tcPr>
            <w:tcW w:w="573" w:type="dxa"/>
            <w:vMerge w:val="restart"/>
            <w:shd w:val="clear" w:color="auto" w:fill="auto"/>
            <w:vAlign w:val="center"/>
          </w:tcPr>
          <w:p w14:paraId="3E7A38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518" w:type="dxa"/>
            <w:vMerge w:val="restart"/>
            <w:shd w:val="clear" w:color="auto" w:fill="auto"/>
            <w:vAlign w:val="center"/>
          </w:tcPr>
          <w:p w14:paraId="40A988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台</w:t>
            </w:r>
          </w:p>
        </w:tc>
        <w:tc>
          <w:tcPr>
            <w:tcW w:w="791" w:type="dxa"/>
            <w:vMerge w:val="restart"/>
            <w:shd w:val="clear" w:color="auto" w:fill="auto"/>
            <w:vAlign w:val="center"/>
          </w:tcPr>
          <w:p w14:paraId="4E08F3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763" w:type="dxa"/>
            <w:vMerge w:val="restart"/>
            <w:shd w:val="clear" w:color="auto" w:fill="auto"/>
            <w:vAlign w:val="center"/>
          </w:tcPr>
          <w:p w14:paraId="2C06D7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852" w:type="dxa"/>
            <w:vMerge w:val="restart"/>
            <w:shd w:val="clear" w:color="auto" w:fill="auto"/>
            <w:vAlign w:val="center"/>
          </w:tcPr>
          <w:p w14:paraId="366F39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3EFD84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1B20B709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满足国产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安全可靠测评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要求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。</w:t>
            </w:r>
          </w:p>
        </w:tc>
      </w:tr>
      <w:tr w14:paraId="2C558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7CB895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2321B5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0768DF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4FF7B1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7A79A2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21D820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19C7F3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2CB3BE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5F5A02B8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处理器：配置≥2 颗ARM处理器，单颗物理核心数≥64，主频≥2.6GHz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。</w:t>
            </w:r>
          </w:p>
        </w:tc>
      </w:tr>
      <w:tr w14:paraId="291EA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2CC3A0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7B92C2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125024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4A3C7D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223811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3F4245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2AF61C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38A314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3B793D2C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内存：配置≥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根64GB DDR4 RDIMM 内存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。</w:t>
            </w:r>
          </w:p>
        </w:tc>
      </w:tr>
      <w:tr w14:paraId="1B689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12E5DA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494410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04C842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51959C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724737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7F2E71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5CFB0E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493D14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0A7F5001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4、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硬盘：配置≥2块960GB SAS SSD，≥6块 10TB SATA硬盘，≥1块3.2TB NVMe SSD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。</w:t>
            </w:r>
          </w:p>
        </w:tc>
      </w:tr>
      <w:tr w14:paraId="77725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5FCFE5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23EE3C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045C2B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643CC9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167755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50368C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00445A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169E8C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1ED91734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网卡：配置≥4个千兆电口，≥4个25GE 接口（含光模块）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。</w:t>
            </w:r>
          </w:p>
        </w:tc>
      </w:tr>
      <w:tr w14:paraId="51371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0910AA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1AA8DD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421964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76441F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4FDFA4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2B9A9D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78F9C4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4C9272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61422359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 xml:space="preserve">RAID：支持RAID 0,1,5,6,10,50,60，缓存≥2GB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。</w:t>
            </w:r>
          </w:p>
        </w:tc>
      </w:tr>
      <w:tr w14:paraId="0D049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6EF551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5DA769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1373E0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2B3AA9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4E252A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6F829A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70EF74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745292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26AB27F3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电源：满配冗余热插拔电源，并提供配套的电源连接线；</w:t>
            </w:r>
          </w:p>
        </w:tc>
      </w:tr>
      <w:tr w14:paraId="517EF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763F6E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4BFFFF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23228A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1BB6A7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6DCED4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1A2E2F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7CE6EE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6B5F3E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△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04935E2E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、支持在统一管理界面中监控和管理计算、存储、交换机、虚拟化平台；支持一键式或定期自动输出系统健康巡检报告，包括CPU、内存、HDD、SSD、RAID卡等硬件状态，虚拟化平台，存储软件，超融合管理软件等部件的健康状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。（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提供证明材料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）</w:t>
            </w:r>
          </w:p>
        </w:tc>
      </w:tr>
      <w:tr w14:paraId="3D558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4CD062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667FD3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3AA52B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42A33D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18EF4D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1CF8D1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5E3F10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61A45C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1EEB9148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、支持外接存储，并通过超融合管理界面统一接入管理。实现已有存储设备的利旧，满足核心应用虚拟化部署及应用之间共享文件的诉求，支持通过NAS、iSCSI、FC、IP SAN多种协议接入虚拟化资源。</w:t>
            </w:r>
          </w:p>
        </w:tc>
      </w:tr>
      <w:tr w14:paraId="41448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77EECA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76757E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7F0E9F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7F2E16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7E2189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619BDA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57FE20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14042E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△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39229CD2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、支持灵活的EC配比；支持EC折叠（4+2:1,6+2:1,8+2:1等），满足最小集群三节点起步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。（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提供证明材料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）</w:t>
            </w:r>
          </w:p>
        </w:tc>
      </w:tr>
      <w:tr w14:paraId="6349E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76A8FB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641F69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0EDEAF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376F14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7B7C9E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34B628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12FB66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30BA09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4A96A79A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、支持磁盘拔出和换位的容错功能。</w:t>
            </w:r>
          </w:p>
        </w:tc>
      </w:tr>
      <w:tr w14:paraId="6A02F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06CFCA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734468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4D4C89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324517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028EBC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536102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5429B3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0CCFBE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28B86BB3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、软件：配置满足部署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34颗cpu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需求的虚拟化软件授权、超融合软件授权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。</w:t>
            </w:r>
          </w:p>
        </w:tc>
      </w:tr>
      <w:tr w14:paraId="07576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restart"/>
            <w:shd w:val="clear" w:color="auto" w:fill="auto"/>
            <w:vAlign w:val="center"/>
          </w:tcPr>
          <w:p w14:paraId="4E0E86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66" w:type="dxa"/>
            <w:vMerge w:val="restart"/>
            <w:shd w:val="clear" w:color="auto" w:fill="auto"/>
            <w:vAlign w:val="center"/>
          </w:tcPr>
          <w:p w14:paraId="122BFB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人工智能推理节点</w:t>
            </w:r>
          </w:p>
        </w:tc>
        <w:tc>
          <w:tcPr>
            <w:tcW w:w="573" w:type="dxa"/>
            <w:vMerge w:val="restart"/>
            <w:shd w:val="clear" w:color="auto" w:fill="auto"/>
            <w:vAlign w:val="center"/>
          </w:tcPr>
          <w:p w14:paraId="6B70CE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18" w:type="dxa"/>
            <w:vMerge w:val="restart"/>
            <w:shd w:val="clear" w:color="auto" w:fill="auto"/>
            <w:vAlign w:val="center"/>
          </w:tcPr>
          <w:p w14:paraId="0C2D47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791" w:type="dxa"/>
            <w:vMerge w:val="restart"/>
            <w:shd w:val="clear" w:color="auto" w:fill="auto"/>
            <w:vAlign w:val="center"/>
          </w:tcPr>
          <w:p w14:paraId="549124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763" w:type="dxa"/>
            <w:vMerge w:val="restart"/>
            <w:shd w:val="clear" w:color="auto" w:fill="auto"/>
            <w:vAlign w:val="center"/>
          </w:tcPr>
          <w:p w14:paraId="7BDC44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852" w:type="dxa"/>
            <w:vMerge w:val="restart"/>
            <w:shd w:val="clear" w:color="auto" w:fill="auto"/>
            <w:vAlign w:val="center"/>
          </w:tcPr>
          <w:p w14:paraId="445259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41C0F6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3B8CE68D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采用风冷散热方式，单台提供非稀疏情况下AI算力≥2.2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P FLOPS@FP16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。</w:t>
            </w:r>
          </w:p>
        </w:tc>
      </w:tr>
      <w:tr w14:paraId="44CF8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58A10B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31A5E5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462DE0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784130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142563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42EBF9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7E4320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2A52E9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681F296F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机型需满足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安全可靠测评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要求，其CPU及AI 处理器均需使用国产芯片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。</w:t>
            </w:r>
          </w:p>
        </w:tc>
      </w:tr>
      <w:tr w14:paraId="223B4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72F93C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325DDF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42E118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4DFF31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079D8F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7C7208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5C261C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1BF9DC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30585E70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、CPU：单机提供4颗ARM处理器；单颗CPU主频≥2.6GHz，核数≥48核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。</w:t>
            </w:r>
          </w:p>
        </w:tc>
      </w:tr>
      <w:tr w14:paraId="5C7B2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57A92E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22D8B0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7B1E84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65D7BD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4DF5B6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5CC95E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1A477A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250725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△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1C28C62E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AI芯片：单机配置≥8颗 AI芯片，整机AI处理器间互联带宽≥390GB/s，整机显存规格≥512GB；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单个AI处理器/加速卡支持≥280TFLOPS@FP16算力和≥75TFLOPS@FP32算力，单卡≥64GB HBM高带宽内存。（提供证明材料）</w:t>
            </w:r>
          </w:p>
        </w:tc>
      </w:tr>
      <w:tr w14:paraId="2ED2A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536180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111EF5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4833DE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15DAF0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153092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67D606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1500DD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2ECB5B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5F325682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6、内存：配置内存1024GB，单根内存64GB，支持32个内存插槽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。</w:t>
            </w:r>
          </w:p>
        </w:tc>
      </w:tr>
      <w:tr w14:paraId="6D87B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58ADCC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7E49F6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747E4C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47DAC1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02F77F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02D3F6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750BC6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3CED81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5B4F4509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6、内存：配置内存1024GB，单根内存64GB，支持32个内存插槽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。</w:t>
            </w:r>
          </w:p>
        </w:tc>
      </w:tr>
      <w:tr w14:paraId="5DE69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2EFCF2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05049D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474CFB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4C4BC0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27D8A9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4F65C5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6F23F4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3A37C0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5BEF0711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7、存储：配置≥2块480G SSD, ≥2块3.84TBNVMe SSD硬盘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。</w:t>
            </w:r>
          </w:p>
        </w:tc>
      </w:tr>
      <w:tr w14:paraId="1944D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40BD81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2CF1C6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5267EB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01DD3E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37BEC8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350D4C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092211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0D9531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053D25F7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8、阵列卡：配置1块磁盘阵列卡，缓存4G Cache，支持RAID 0/1/5/6/10，配置掉电保护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。</w:t>
            </w:r>
          </w:p>
        </w:tc>
      </w:tr>
      <w:tr w14:paraId="30E2C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374A27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740CE9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357871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7D1DA2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332577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4A09C2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43FB10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4D51C1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06984EBA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9、网卡：配置2张双口25GE网卡（含25G多模光模块），配置4块双口200GE光网卡（含200G多模光模块及配套线缆）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。</w:t>
            </w:r>
          </w:p>
        </w:tc>
      </w:tr>
      <w:tr w14:paraId="7BC8D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684849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1C3094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691A3E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4BBB7E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26F5BB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4BA601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1B79ED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6CE075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0208F982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10、电源模块支持热插拔，2+2冗余备份，单电源功率≥2600W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。</w:t>
            </w:r>
          </w:p>
        </w:tc>
      </w:tr>
      <w:tr w14:paraId="19D4D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31A7BF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025808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6D0896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30B694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671267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0BFE84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133D6A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407B32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4D459A55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11、节点软件功能：</w:t>
            </w:r>
          </w:p>
          <w:p w14:paraId="2267873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11.1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支持异构算力纳管，提供分布式云管理能力。支持统一管理和调度GPU、华为昇腾NPU、寒武纪MLU和海光DCU等多种异构计算设备。</w:t>
            </w:r>
          </w:p>
        </w:tc>
      </w:tr>
      <w:tr w14:paraId="0D715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19D5EE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03E954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311F23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04F44A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01EBBA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285948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603753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239BB9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0E4B239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11.2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可按照公共资源池、专属资源池的划分资源，并支持将公共资源池、专属资源池以配额的方式分配给用户进行使用，基于资源池可查看当前已分配的队列信息及任务信息。</w:t>
            </w:r>
          </w:p>
        </w:tc>
      </w:tr>
      <w:tr w14:paraId="196B8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2342A8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2D75E2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6223CA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10E728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71B4B1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1B0128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1F3E69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69AB95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02A930C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11.3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实现队列管理，支持多种建模方式，可针对训练任务分配资源队列及设置训练时长限制，并可按照模型训练、模型推理工作负载进行队列的划分；并可查看当前正在运行的任务数及详情。</w:t>
            </w:r>
          </w:p>
        </w:tc>
      </w:tr>
      <w:tr w14:paraId="497B8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78BD8C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69A2EA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4BCB93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3967FF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077EBB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23A6C9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0F128C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5803AD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472A1EC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11.4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提供FIFO调度、优先级调度、主导资源调度（DRF）、组调度等调度策略。</w:t>
            </w:r>
          </w:p>
        </w:tc>
      </w:tr>
      <w:tr w14:paraId="3D2A9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18E266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6BCFF7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515327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0BB945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343B1C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267D46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6389F1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578EA0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6B158D8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11.5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提供算法管理功能，并支持预置算法、新建算法、导出、编辑及删除等功能，提供算法的镜像管理功能；提供预置算法仓库功能，集成计算机视觉、自然语言处理、自动语音识别、强化学习、机器学习等领域不少于70种集成算法，实现零代码训练、评估和预测。</w:t>
            </w:r>
          </w:p>
        </w:tc>
      </w:tr>
      <w:tr w14:paraId="02447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03015F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7A3B24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5C3DCB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176DD9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40EF5E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7D7F94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2928A4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57E13C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0F3A7CC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11.6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支持TensorFlow、PyTorch、Mindspore、Paddlepaddle等异构AI框架，支持单机多卡以及多机多卡分布式并行训练任务。</w:t>
            </w:r>
          </w:p>
        </w:tc>
      </w:tr>
      <w:tr w14:paraId="16FE0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6514C6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77E4E9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2EE271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5B3C3F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41E809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21BC18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4A076C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5B72DF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2424715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11.7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支持在线代码开发，实现在线模型开发、调试与训练全流程操作，支持训练过程实时监控，并提供可视化工具查看训练过程参数变化。</w:t>
            </w:r>
          </w:p>
        </w:tc>
      </w:tr>
      <w:tr w14:paraId="72A55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2C21DF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196575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53A139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191415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30DF96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64F022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4C7F69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68CCF5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6485FAD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11.8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提供训练任务的运行状态查看，包括版本状态、配置参数、日志、资源等信息；支持查看智算平台训练和推理任务信息，以及任务上运行的容器组监控信息，实时跟进任务的运行情况。</w:t>
            </w:r>
          </w:p>
        </w:tc>
      </w:tr>
      <w:tr w14:paraId="58210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5A1113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409646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1F5C2D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0A67EA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0BD291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4AC144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379346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618738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5D5B6F8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11.9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具备模型仓库功能，对平台模型进行统一纳管，支持模型导入、及删除功能，实现在线快速部署，按用户要求完成主流大模型部署。</w:t>
            </w:r>
          </w:p>
        </w:tc>
      </w:tr>
      <w:tr w14:paraId="2B7A4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1BEC62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18E673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4547FD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2A638B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2FA737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3833A8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0465EC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535691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3010B1F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11.10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实现多维度查看集群及节点内加速卡、CPU、内存和显存等资源的使用情况，支持查看容器组上运行的容器信息和容器监控；支持K8S标准集群的接入和管理。</w:t>
            </w:r>
          </w:p>
        </w:tc>
      </w:tr>
      <w:tr w14:paraId="5B232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294DF0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5218E8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5461AC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0C2B59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033223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10C94A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7B218A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40DC21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7189163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11.11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提供针对平台的操作及接口访问日志的记录功能，提供登录日志、操作日志、服务日志的管理功能，并保存不低于90天。</w:t>
            </w:r>
          </w:p>
        </w:tc>
      </w:tr>
      <w:tr w14:paraId="3CE2B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3E8946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2F1B79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32D384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49B45C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425537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61513B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49A678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718BA0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52CF2C2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11.12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提供对智算平台内的资源规格进行配置，将加速卡、CPU和内存以合理的比例进行组合配置，分配给租户使用。</w:t>
            </w:r>
          </w:p>
        </w:tc>
      </w:tr>
      <w:tr w14:paraId="40BA8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793C5F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4572CD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6F0537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6FC263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0FAC47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594EA2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10A961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620B9F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53BA837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11.13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平台支持对接开源或商用高性能存储系统，支持存储在线扩展；</w:t>
            </w:r>
          </w:p>
        </w:tc>
      </w:tr>
      <w:tr w14:paraId="2F35D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106FB2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7DFD31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0D084E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0A5A08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5CD531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0697AF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1A222F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5B3AC0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22F60F6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11.14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支持昇腾NPU的虚拟化实例功能，训练卡支持提前切分，推理卡支持静态虚拟化和动态虚拟化能力。</w:t>
            </w:r>
          </w:p>
        </w:tc>
      </w:tr>
      <w:tr w14:paraId="493D6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088CBC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5F4657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69BDE0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54F2AB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3325EE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0E64F4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13F8AC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484451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5E226EC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11.15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支持通过多个维度对算力实例进行统计，如实例总量、运行中数量、共享/专属资源池任务数量等；支持对用户使用的数据存储进行统计；</w:t>
            </w:r>
          </w:p>
        </w:tc>
      </w:tr>
      <w:tr w14:paraId="01F05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3F2405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19082D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490736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01B624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5796CD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1C0EA8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22CE12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0B19B6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78935AF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系统的实际用户数在5000个以上，系统允许的最大同时在线用户数不少于500个。</w:t>
            </w:r>
          </w:p>
        </w:tc>
      </w:tr>
      <w:tr w14:paraId="38414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restart"/>
            <w:shd w:val="clear" w:color="auto" w:fill="auto"/>
            <w:vAlign w:val="center"/>
          </w:tcPr>
          <w:p w14:paraId="3BF5C8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966" w:type="dxa"/>
            <w:vMerge w:val="restart"/>
            <w:shd w:val="clear" w:color="auto" w:fill="auto"/>
            <w:vAlign w:val="center"/>
          </w:tcPr>
          <w:p w14:paraId="0F7C68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业务面接入交换机</w:t>
            </w:r>
          </w:p>
        </w:tc>
        <w:tc>
          <w:tcPr>
            <w:tcW w:w="573" w:type="dxa"/>
            <w:vMerge w:val="restart"/>
            <w:shd w:val="clear" w:color="auto" w:fill="auto"/>
            <w:vAlign w:val="center"/>
          </w:tcPr>
          <w:p w14:paraId="7288A7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18" w:type="dxa"/>
            <w:vMerge w:val="restart"/>
            <w:shd w:val="clear" w:color="auto" w:fill="auto"/>
            <w:vAlign w:val="center"/>
          </w:tcPr>
          <w:p w14:paraId="50C8EF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791" w:type="dxa"/>
            <w:vMerge w:val="restart"/>
            <w:shd w:val="clear" w:color="auto" w:fill="auto"/>
            <w:vAlign w:val="center"/>
          </w:tcPr>
          <w:p w14:paraId="429CFC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763" w:type="dxa"/>
            <w:vMerge w:val="restart"/>
            <w:shd w:val="clear" w:color="auto" w:fill="auto"/>
            <w:vAlign w:val="center"/>
          </w:tcPr>
          <w:p w14:paraId="62942D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852" w:type="dxa"/>
            <w:vMerge w:val="restart"/>
            <w:shd w:val="clear" w:color="auto" w:fill="auto"/>
            <w:vAlign w:val="center"/>
          </w:tcPr>
          <w:p w14:paraId="19E84A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2DA8AB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459FF0A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、交换容量≥8Tbps，包转发率≥2000Mpps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。</w:t>
            </w:r>
          </w:p>
        </w:tc>
      </w:tr>
      <w:tr w14:paraId="04B27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5B72FD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3D4D3F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7A8BFC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12FD15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58EDAC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4B1E94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6E526A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255C65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061EDFB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、10GE/25GE光口≥48个，40/100GE光口≥8，电源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冗余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，风扇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冗余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，设备缓存≥32M，支持前后、后前风道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。</w:t>
            </w:r>
          </w:p>
        </w:tc>
      </w:tr>
      <w:tr w14:paraId="7E2CF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36E54C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56FCC3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03C6D4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703D1C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7C0B04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59BE42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03D584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7F4C46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0F1BD90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、支持跨机箱链路捆绑技术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。</w:t>
            </w:r>
          </w:p>
        </w:tc>
      </w:tr>
      <w:tr w14:paraId="31FCF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295EB6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1D20D3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252127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6CBAF9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766E65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40D658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20C85D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0769AA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3BFE368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、支持RIPng、OSPFv3、ISISv6、BGP4+等IPv6动态路由协议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。</w:t>
            </w:r>
          </w:p>
        </w:tc>
      </w:tr>
      <w:tr w14:paraId="6AFC6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07EDE7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6C859E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143537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400B1D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457CC2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622428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0C9A6A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0BCD88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125E208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、支持TCP、UDP的智能流量分析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。</w:t>
            </w:r>
          </w:p>
        </w:tc>
      </w:tr>
      <w:tr w14:paraId="3921A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413096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7228D3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476962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47627E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02FA4D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375A30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461C38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45D5C6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500DC6A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、支持 RDMA 和 RoCE（RoCE v1 和 RoCE v2）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。</w:t>
            </w:r>
          </w:p>
        </w:tc>
      </w:tr>
      <w:tr w14:paraId="77F49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18CD74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05B0B8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2A69D0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7C5ACA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139EF0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41F3EE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144A8B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595AAF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430AD38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、配置：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满配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25GE多模光模块,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满配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100G多模模块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。</w:t>
            </w:r>
          </w:p>
        </w:tc>
      </w:tr>
      <w:tr w14:paraId="4F4DE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restart"/>
            <w:shd w:val="clear" w:color="auto" w:fill="auto"/>
            <w:vAlign w:val="center"/>
          </w:tcPr>
          <w:p w14:paraId="419665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966" w:type="dxa"/>
            <w:vMerge w:val="restart"/>
            <w:shd w:val="clear" w:color="auto" w:fill="auto"/>
            <w:vAlign w:val="center"/>
          </w:tcPr>
          <w:p w14:paraId="5CB698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管理面接入交换机</w:t>
            </w:r>
          </w:p>
        </w:tc>
        <w:tc>
          <w:tcPr>
            <w:tcW w:w="573" w:type="dxa"/>
            <w:vMerge w:val="restart"/>
            <w:shd w:val="clear" w:color="auto" w:fill="auto"/>
            <w:vAlign w:val="center"/>
          </w:tcPr>
          <w:p w14:paraId="767C98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18" w:type="dxa"/>
            <w:vMerge w:val="restart"/>
            <w:shd w:val="clear" w:color="auto" w:fill="auto"/>
            <w:vAlign w:val="center"/>
          </w:tcPr>
          <w:p w14:paraId="4CF871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791" w:type="dxa"/>
            <w:vMerge w:val="restart"/>
            <w:shd w:val="clear" w:color="auto" w:fill="auto"/>
            <w:vAlign w:val="center"/>
          </w:tcPr>
          <w:p w14:paraId="4B6E05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763" w:type="dxa"/>
            <w:vMerge w:val="restart"/>
            <w:shd w:val="clear" w:color="auto" w:fill="auto"/>
            <w:vAlign w:val="center"/>
          </w:tcPr>
          <w:p w14:paraId="074A5B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852" w:type="dxa"/>
            <w:vMerge w:val="restart"/>
            <w:shd w:val="clear" w:color="auto" w:fill="auto"/>
            <w:vAlign w:val="center"/>
          </w:tcPr>
          <w:p w14:paraId="293E94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030137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7481AD1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、交换容量≥670Gbps，包转发率≥205Mpps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。</w:t>
            </w:r>
          </w:p>
        </w:tc>
      </w:tr>
      <w:tr w14:paraId="20313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0BADEE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00CE24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259C59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127568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518139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0AD5AE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271446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3F0485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4E4D931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、接口≥48个10/100/1000BASE-T以太网端口，≥4个万兆SFP+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。</w:t>
            </w:r>
          </w:p>
        </w:tc>
      </w:tr>
      <w:tr w14:paraId="12B2E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272C1E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1BDD14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5F2BC0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69B632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2B96FD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57802D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290915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1A9683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742BFAF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、支持专用堆叠接口，堆叠带宽≥48G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。</w:t>
            </w:r>
          </w:p>
        </w:tc>
      </w:tr>
      <w:tr w14:paraId="06911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0EC57B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66A65E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462FDB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671576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42E904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07B2AB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2201A9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2B9BDB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617D732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、支持静态路由、支持RIP、RIPng、OSPF、OSPFv3、IS-IS、IS-ISv6、 BGP、BGP4+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。</w:t>
            </w:r>
          </w:p>
        </w:tc>
      </w:tr>
      <w:tr w14:paraId="00F4F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747B24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2A3672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34E59C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31DB0A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21F33F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56870C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3FDF49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09BC43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0A34F01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、支持MAC认证、802.1x认证，实现用户策略（VLAN、QoS、ACL）的动态下发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。</w:t>
            </w:r>
          </w:p>
        </w:tc>
      </w:tr>
      <w:tr w14:paraId="22545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13A9EA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437278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39D73C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3FA313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0E685E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29BFB4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6FC82A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6FD4F5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4D5BEEB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配置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可插拔双电源模块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。</w:t>
            </w:r>
          </w:p>
        </w:tc>
      </w:tr>
      <w:tr w14:paraId="00D3A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3234A6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6C9B0F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322A77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51A27E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0FE6E8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5D43FC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030B49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6FC358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45BD407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、配置：双电源，10GE多模光模块≥2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。</w:t>
            </w:r>
          </w:p>
        </w:tc>
      </w:tr>
    </w:tbl>
    <w:p w14:paraId="1D4769A8"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备注：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投标人应提供系统整体设计方案，包含但不限于需求分析、技术路线、算力资源的有效利用、算力应用开发的规划设计。方案应逻辑清晰、合理可行、符合招标人的科研和应用实际。</w:t>
      </w:r>
    </w:p>
    <w:p w14:paraId="6F15B8A9">
      <w:pPr>
        <w:spacing w:line="360" w:lineRule="auto"/>
        <w:rPr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重要程度中标注“△”为重要指标，如存在不满足或未响应扣分多；标注“一般”为次要指标，如存在不满足或未响应扣分少。</w:t>
      </w:r>
      <w:r>
        <w:rPr>
          <w:rFonts w:hint="eastAsia"/>
          <w:color w:val="auto"/>
          <w:lang w:val="en-US" w:eastAsia="zh-CN"/>
        </w:rPr>
        <w:tab/>
      </w:r>
    </w:p>
    <w:p w14:paraId="51476C23"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7E777DDF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B包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  <w:t>人工智能推理节点等，</w:t>
      </w:r>
      <w:r>
        <w:rPr>
          <w:rFonts w:hint="eastAsia" w:ascii="宋体" w:hAnsi="宋体" w:eastAsia="宋体" w:cs="宋体"/>
          <w:b/>
          <w:bCs/>
          <w:iCs/>
          <w:color w:val="auto"/>
          <w:sz w:val="24"/>
          <w:szCs w:val="24"/>
          <w:lang w:val="zh-CN"/>
        </w:rPr>
        <w:t>预算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470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万元</w:t>
      </w:r>
      <w:r>
        <w:rPr>
          <w:rFonts w:hint="eastAsia" w:ascii="宋体" w:hAnsi="宋体" w:eastAsia="宋体" w:cs="宋体"/>
          <w:b/>
          <w:bCs/>
          <w:iCs/>
          <w:color w:val="auto"/>
          <w:sz w:val="24"/>
          <w:szCs w:val="24"/>
          <w:lang w:val="zh-CN"/>
        </w:rPr>
        <w:t>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966"/>
        <w:gridCol w:w="573"/>
        <w:gridCol w:w="518"/>
        <w:gridCol w:w="791"/>
        <w:gridCol w:w="763"/>
        <w:gridCol w:w="852"/>
        <w:gridCol w:w="703"/>
        <w:gridCol w:w="7978"/>
      </w:tblGrid>
      <w:tr w14:paraId="25839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shd w:val="clear" w:color="auto" w:fill="auto"/>
            <w:vAlign w:val="center"/>
          </w:tcPr>
          <w:p w14:paraId="4B6E58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7E231F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采购标的名称</w:t>
            </w:r>
          </w:p>
        </w:tc>
        <w:tc>
          <w:tcPr>
            <w:tcW w:w="573" w:type="dxa"/>
            <w:shd w:val="clear" w:color="auto" w:fill="auto"/>
            <w:vAlign w:val="center"/>
          </w:tcPr>
          <w:p w14:paraId="27249E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220CCA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2F77A8E1">
            <w:pP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  <w:t>是否强制节能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79347027">
            <w:pP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  <w:t>是否核心产品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1891B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  <w:t>是否接受进口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2CC09DDB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  <w:t>重要</w:t>
            </w:r>
          </w:p>
          <w:p w14:paraId="57DCF1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  <w:t>程度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7C4753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  <w:t>指标需求</w:t>
            </w:r>
          </w:p>
        </w:tc>
      </w:tr>
      <w:tr w14:paraId="0450B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restart"/>
            <w:shd w:val="clear" w:color="auto" w:fill="auto"/>
            <w:vAlign w:val="center"/>
          </w:tcPr>
          <w:p w14:paraId="1BE1A26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6" w:type="dxa"/>
            <w:vMerge w:val="restart"/>
            <w:shd w:val="clear" w:color="auto" w:fill="auto"/>
            <w:vAlign w:val="center"/>
          </w:tcPr>
          <w:p w14:paraId="7B6B8BE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人工智能推理节点</w:t>
            </w:r>
          </w:p>
        </w:tc>
        <w:tc>
          <w:tcPr>
            <w:tcW w:w="573" w:type="dxa"/>
            <w:vMerge w:val="restart"/>
            <w:shd w:val="clear" w:color="auto" w:fill="auto"/>
            <w:vAlign w:val="center"/>
          </w:tcPr>
          <w:p w14:paraId="43F43ED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18" w:type="dxa"/>
            <w:vMerge w:val="restart"/>
            <w:shd w:val="clear" w:color="auto" w:fill="auto"/>
            <w:vAlign w:val="center"/>
          </w:tcPr>
          <w:p w14:paraId="4CFCF50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791" w:type="dxa"/>
            <w:vMerge w:val="restart"/>
            <w:shd w:val="clear" w:color="auto" w:fill="auto"/>
            <w:vAlign w:val="center"/>
          </w:tcPr>
          <w:p w14:paraId="4FC0102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763" w:type="dxa"/>
            <w:vMerge w:val="restart"/>
            <w:shd w:val="clear" w:color="auto" w:fill="auto"/>
            <w:vAlign w:val="center"/>
          </w:tcPr>
          <w:p w14:paraId="381E6F1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852" w:type="dxa"/>
            <w:vMerge w:val="restart"/>
            <w:shd w:val="clear" w:color="auto" w:fill="auto"/>
            <w:vAlign w:val="center"/>
          </w:tcPr>
          <w:p w14:paraId="158D62F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4AC908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75E0E49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采用风冷散热方式，单台提供非稀疏情况下AI算力≥2.2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P FLOPS@FP16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。</w:t>
            </w:r>
          </w:p>
        </w:tc>
      </w:tr>
      <w:tr w14:paraId="72756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7F5CF1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179D6A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6D1BC5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0D5ECE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3496AB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633C3D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623459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0D4DEC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63CB996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2.机型需满足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安全可靠测评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要求，其CPU及AI 处理器均需使用国产芯片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。</w:t>
            </w:r>
          </w:p>
        </w:tc>
      </w:tr>
      <w:tr w14:paraId="0C6D8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7F4192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048BD6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00B3C2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4F966E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07DC7B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716FBB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214E11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0AFE86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6F4BE8B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、CPU：单机提供4颗ARM处理器；单颗CPU主频≥2.6GHz，核数≥48核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。</w:t>
            </w:r>
          </w:p>
        </w:tc>
      </w:tr>
      <w:tr w14:paraId="6BCE9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23D179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499EB0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788644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35E589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0902F0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67ACD6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03B20B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269DD7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△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2CFC42E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AI芯片：单机配置≥8颗 AI芯片，整机AI处理器间互联带宽≥390GB/s，整机显存规格≥512GB；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单个AI处理器/加速卡支持≥280TFLOPS@FP16算力和≥75TFLOPS@FP32算力，单卡≥64GB HBM高带宽内存。（提供证明材料）</w:t>
            </w:r>
          </w:p>
        </w:tc>
      </w:tr>
      <w:tr w14:paraId="4FE2C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7B43BC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256C68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04024F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7684E9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7BC337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4217B8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298FEC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1A0EC7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5C28198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6、内存：配置内存1024GB，单根内存64GB，支持32个内存插槽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。</w:t>
            </w:r>
          </w:p>
        </w:tc>
      </w:tr>
      <w:tr w14:paraId="05DD7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0DC256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4A1CEE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17461E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5CA81F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28DBA1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5AC759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16EE1C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12E0DA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1009F12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7、存储：配置≥2块480G SSD, ≥2块3.84TBNVMe SSD硬盘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。</w:t>
            </w:r>
          </w:p>
        </w:tc>
      </w:tr>
      <w:tr w14:paraId="57887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67B148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102DA4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19F52C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5587D3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4E0BBB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03322D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49A7CF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5C5586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280F119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8、阵列卡：配置1块磁盘阵列卡，缓存4G Cache，支持RAID 0/1/5/6/10，配置掉电保护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。</w:t>
            </w:r>
          </w:p>
        </w:tc>
      </w:tr>
      <w:tr w14:paraId="2863D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199AFE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7C2AEA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3D0D33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3C12E2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3A0218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6CA30A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51231A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6F7FDE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0676AB0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9、网卡：配置2张双口25GE网卡（含25G多模光模块），配置4块双口200GE光网卡（含200G多模光模块及配套线缆）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。</w:t>
            </w:r>
          </w:p>
        </w:tc>
      </w:tr>
      <w:tr w14:paraId="4006E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07CAB1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6DCB84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277D34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4454C8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2CD15B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2B73AC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730A0D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2C420B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7C2A51D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10、电源模块支持热插拔，2+2冗余备份，单电源功率≥2600W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。</w:t>
            </w:r>
          </w:p>
        </w:tc>
      </w:tr>
      <w:tr w14:paraId="798A0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4CAEC1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215F51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21BC22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0B9CC6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1E7B00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216EA5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5A666B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62374F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5EFC6539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11、节点软件功能：</w:t>
            </w:r>
          </w:p>
          <w:p w14:paraId="6FE4C15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11.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支持异构算力纳管，提供分布式云管理能力。支持统一管理和调度GPU、华为昇腾NPU、寒武纪MLU和海光DCU等多种异构计算设备。</w:t>
            </w:r>
          </w:p>
        </w:tc>
      </w:tr>
      <w:tr w14:paraId="1B8CC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2DDE5B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5E444A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21AE85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0D33CA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2D12BC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6D42FA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005C09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421434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43D57AE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11.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可按照公共资源池、专属资源池的划分资源，并支持将公共资源池、专属资源池以配额的方式分配给用户进行使用，基于资源池可查看当前已分配的队列信息及任务信息。</w:t>
            </w:r>
          </w:p>
        </w:tc>
      </w:tr>
      <w:tr w14:paraId="776CE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0F5633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72E959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65703F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0E352A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16FFCF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24F8D7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78E3F2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7A66E7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2C165EE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11.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实现队列管理，支持多种建模方式，可针对训练任务分配资源队列及设置训练时长限制，并可按照模型训练、模型推理工作负载进行队列的划分；并可查看当前正在运行的任务数及详情。</w:t>
            </w:r>
          </w:p>
        </w:tc>
      </w:tr>
      <w:tr w14:paraId="12F3B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699998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7DEFB3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646383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2242EA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06DBCD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348869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528612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7237F5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6BBC801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11.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提供FIFO调度、优先级调度、主导资源调度（DRF）、组调度等调度策略。</w:t>
            </w:r>
          </w:p>
        </w:tc>
      </w:tr>
      <w:tr w14:paraId="65A97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53BFA3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4A2D3E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415E1B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00A3B1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4D166B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1C3EA7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6CCBEC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0A58BA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0D6E136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11.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提供算法管理功能，并支持预置算法、新建算法、导出、编辑及删除等功能，提供算法的镜像管理功能；提供预置算法仓库功能，集成计算机视觉、自然语言处理、自动语音识别、强化学习、机器学习等领域不少于70种集成算法，实现零代码训练、评估和预测。</w:t>
            </w:r>
          </w:p>
        </w:tc>
      </w:tr>
      <w:tr w14:paraId="2B4EF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76B764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74A84C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16F73C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533B49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732A9C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54A85E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734F88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447F6C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112BE99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11.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支持TensorFlow、PyTorch、Mindspore、Paddlepaddle等异构AI框架，支持单机多卡以及多机多卡分布式并行训练任务。</w:t>
            </w:r>
          </w:p>
        </w:tc>
      </w:tr>
      <w:tr w14:paraId="0FDA7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221C13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42D8AD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3E8A9B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05DF24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65BB45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1992C5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1E90E1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2F5D4E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246AB10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11.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支持在线代码开发，实现在线模型开发、调试与训练全流程操作，支持训练过程实时监控，并提供可视化工具查看训练过程参数变化。</w:t>
            </w:r>
          </w:p>
        </w:tc>
      </w:tr>
      <w:tr w14:paraId="7C321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1546A8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07DA39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03A3BA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236042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277D56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29FF8B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29A854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63792D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5570388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11.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提供训练任务的运行状态查看，包括版本状态、配置参数、日志、资源等信息；支持查看智算平台训练和推理任务信息，以及任务上运行的容器组监控信息，实时跟进任务的运行情况。</w:t>
            </w:r>
          </w:p>
        </w:tc>
      </w:tr>
      <w:tr w14:paraId="18B86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7601EC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598183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3C04E6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6AC6D4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233521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7F87FF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2422BE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2ADEF9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4B760F5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11.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具备模型仓库功能，对平台模型进行统一纳管，支持模型导入、及删除功能，实现在线快速部署。</w:t>
            </w:r>
          </w:p>
        </w:tc>
      </w:tr>
      <w:tr w14:paraId="483F4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4BAD26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7121B3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6E330F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34755F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3C196A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677E70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4E1624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7EC73C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32E9672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11.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实现多维度查看集群及节点内加速卡、CPU、内存和显存等资源的使用情况，支持查看容器组上运行的容器信息和容器监控；支持K8S标准集群的接入和管理。</w:t>
            </w:r>
          </w:p>
        </w:tc>
      </w:tr>
      <w:tr w14:paraId="02877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6E8D78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37A0FC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079D1F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3361C6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3F787D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2E5314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420C69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0F9865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42C17CC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11.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提供针对平台的操作及接口访问日志的记录功能，提供登录日志、操作日志、服务日志的管理功能，并保存不低于90天。</w:t>
            </w:r>
          </w:p>
        </w:tc>
      </w:tr>
      <w:tr w14:paraId="21E64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61F0D5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459E8E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3C2359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00C706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4655C7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2F4A87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27C228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05C87F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2BAF74A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11.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提供对智算平台内的资源规格进行配置，将加速卡、CPU和内存以合理的比例进行组合配置，分配给租户使用。</w:t>
            </w:r>
          </w:p>
        </w:tc>
      </w:tr>
      <w:tr w14:paraId="47CD7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12979A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72B4DD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084E78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2F6513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2A19AF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234E4B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2142C9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28DC7D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0CDFC0B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11.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平台支持对接开源或商用高性能存储系统，支持存储在线扩展。</w:t>
            </w:r>
          </w:p>
        </w:tc>
      </w:tr>
      <w:tr w14:paraId="62401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045329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0FE9C5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15F763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2F2368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3E6705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3D0C22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130954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10FEB5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26908CE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11.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支持昇腾NPU的虚拟化实例功能，训练卡支持提前切分，推理卡支持静态虚拟化和动态虚拟化能力。</w:t>
            </w:r>
          </w:p>
        </w:tc>
      </w:tr>
      <w:tr w14:paraId="1EEE0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7F4F73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4E1811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1306D4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710DF1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0A47D6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55BA52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322579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78B897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7E35754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11.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支持通过多个维度对算力实例进行统计，如实例总量、运行中数量、共享/专属资源池任务数量等；支持对用户使用的数据存储进行统计。</w:t>
            </w:r>
          </w:p>
        </w:tc>
      </w:tr>
      <w:tr w14:paraId="53EE5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1524A07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3FAC0F8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4814D3C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1F9E7CF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6BFAF82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5370167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7A8C0FF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7AB5BB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06DC683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11.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系统的实际用户数在5000个以上，系统允许的最大同时在线用户数不少于500个。</w:t>
            </w:r>
          </w:p>
        </w:tc>
      </w:tr>
      <w:tr w14:paraId="3AC34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restart"/>
            <w:shd w:val="clear" w:color="auto" w:fill="auto"/>
            <w:vAlign w:val="center"/>
          </w:tcPr>
          <w:p w14:paraId="2271F0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66" w:type="dxa"/>
            <w:vMerge w:val="restart"/>
            <w:shd w:val="clear" w:color="auto" w:fill="auto"/>
            <w:vAlign w:val="center"/>
          </w:tcPr>
          <w:p w14:paraId="420A77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AI全闪存储</w:t>
            </w:r>
          </w:p>
        </w:tc>
        <w:tc>
          <w:tcPr>
            <w:tcW w:w="573" w:type="dxa"/>
            <w:vMerge w:val="restart"/>
            <w:shd w:val="clear" w:color="auto" w:fill="auto"/>
            <w:vAlign w:val="center"/>
          </w:tcPr>
          <w:p w14:paraId="67D7D8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18" w:type="dxa"/>
            <w:vMerge w:val="restart"/>
            <w:shd w:val="clear" w:color="auto" w:fill="auto"/>
            <w:vAlign w:val="center"/>
          </w:tcPr>
          <w:p w14:paraId="7AD9B0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791" w:type="dxa"/>
            <w:vMerge w:val="restart"/>
            <w:shd w:val="clear" w:color="auto" w:fill="auto"/>
            <w:vAlign w:val="center"/>
          </w:tcPr>
          <w:p w14:paraId="58BEB3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763" w:type="dxa"/>
            <w:vMerge w:val="restart"/>
            <w:shd w:val="clear" w:color="auto" w:fill="auto"/>
            <w:vAlign w:val="center"/>
          </w:tcPr>
          <w:p w14:paraId="606DAC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852" w:type="dxa"/>
            <w:vMerge w:val="restart"/>
            <w:shd w:val="clear" w:color="auto" w:fill="auto"/>
            <w:vAlign w:val="center"/>
          </w:tcPr>
          <w:p w14:paraId="2EEC10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4EFAF9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△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6098DB4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、采用盘控一体化，配置控制器数量≥2个，最大支持扩展≥16个控制器，控制器处理器总物理核心数≥64核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。（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提供证明材料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）</w:t>
            </w:r>
          </w:p>
        </w:tc>
      </w:tr>
      <w:tr w14:paraId="2DD13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433013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2C692F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38F583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406664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3DDBAF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468766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2982D6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2C3979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4D3EE4C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、存储配置一级高速缓存≥512G（不含任何性能加速模块、FlashCache、SSDCache等），控制器缓存均具备断电保护功能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。</w:t>
            </w:r>
          </w:p>
        </w:tc>
      </w:tr>
      <w:tr w14:paraId="2E80B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20F0B5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4D64E4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5BFE3E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7DA630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7D02B9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27A6C4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4D925D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27B298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△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283E830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、存储采用分布式文件系统架构，文件系统无控制器归属，在多控配置下，支持多个控制器负载均衡，在单文件系统的情况下，多个控制器负载均衡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。（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提供证明材料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）</w:t>
            </w:r>
          </w:p>
        </w:tc>
      </w:tr>
      <w:tr w14:paraId="5AD67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7AC951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16E543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31A475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2234EE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11106E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527FEC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326599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691DAD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6971534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、主机接口：本次配置≥4*100GE光口，≥8*10GE光口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接口满配多模光模块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支持扩展8/16/32/64 Gbps FC,1/10/25/40/100Gbps Eth等接口类型，支持热插拔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。</w:t>
            </w:r>
          </w:p>
        </w:tc>
      </w:tr>
      <w:tr w14:paraId="5DEFB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13CF71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593E7C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5F8547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79AFA8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39E8F7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1C2194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747234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59ACB1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285A2D3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、硬盘配置：本次配置≥490TB裸容量 NVMe SSD，可用容量≥330TB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。</w:t>
            </w:r>
          </w:p>
        </w:tc>
      </w:tr>
      <w:tr w14:paraId="39C32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171EF6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3AFE12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72B95B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1C2C18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756BE2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42DDA8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40FEA7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7F09CB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△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7EC9305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、防勒索保护：实现lun、文件系统的防勒索保护，可进行实时监测，及时发现勒索病毒并发出告警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。（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提供证明材料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）</w:t>
            </w:r>
          </w:p>
        </w:tc>
      </w:tr>
      <w:tr w14:paraId="4937F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352C5F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1E2507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548018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6EE738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014965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645C39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46CF98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4EDD04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△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6B0EC45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、关键业务保障：实配存储QoS功能，提供租户级和文件系统级QoS保障功能，支持设置上限控制和下限保障两种QoS策略，支持QoS的突发流量控制；实配存储配额功能，支持针对目录、用户、用户组这三类对象进行配额限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。（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提供证明材料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）</w:t>
            </w:r>
          </w:p>
        </w:tc>
      </w:tr>
      <w:tr w14:paraId="27F21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0796E4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33D7D7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3AD289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5839A6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7600DC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7A9224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4670EB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7A1FBE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603C2EF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、本地数据保护：实配存储快照功能，采用ROW无损快照模式，提供日志审计功能，支持记录从协议下来的用户操作，包括用户的登陆信息，用户的创建、删除、修改等操作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。</w:t>
            </w:r>
          </w:p>
        </w:tc>
      </w:tr>
      <w:tr w14:paraId="34E46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134211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090CB4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4EB0CF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59A999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3229AA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337419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748C45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44676D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77E60A3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、提供SSD寿命监控技术。</w:t>
            </w:r>
          </w:p>
        </w:tc>
      </w:tr>
      <w:tr w14:paraId="61DBD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36CC05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30C79C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4DB09C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279953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1C9B27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47096B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62F03A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2928D6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7F2C821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、支持容量预测。</w:t>
            </w:r>
          </w:p>
        </w:tc>
      </w:tr>
    </w:tbl>
    <w:p w14:paraId="3E1470D2"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备注：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投标人应提供系统整体设计方案，包含但不限于需求分析、技术路线、算力资源的有效利用、算力应用开发的规划设计。方案应逻辑清晰、合理可行、符合招标人的科研和应用实际。</w:t>
      </w:r>
    </w:p>
    <w:p w14:paraId="33EF39BB">
      <w:pPr>
        <w:spacing w:line="360" w:lineRule="auto"/>
        <w:rPr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重要程度中标注“△”为重要指标，如存在不满足或未响应扣分多；标注“一般”为次要指标，如存在不满足或未响应扣分少。</w:t>
      </w:r>
      <w:r>
        <w:rPr>
          <w:rFonts w:hint="eastAsia"/>
          <w:color w:val="auto"/>
          <w:lang w:val="en-US" w:eastAsia="zh-CN"/>
        </w:rPr>
        <w:tab/>
      </w:r>
    </w:p>
    <w:sectPr>
      <w:headerReference r:id="rId3" w:type="default"/>
      <w:footerReference r:id="rId4" w:type="default"/>
      <w:footerReference r:id="rId5" w:type="even"/>
      <w:pgSz w:w="16838" w:h="11906" w:orient="landscape"/>
      <w:pgMar w:top="1417" w:right="1701" w:bottom="1417" w:left="1701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5DB4D5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E95CF6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E95CF6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2CA60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D78CAE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D78CAE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633B1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15382"/>
    <w:multiLevelType w:val="singleLevel"/>
    <w:tmpl w:val="5451538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evenAndOddHeaders w:val="1"/>
  <w:drawingGridHorizontalSpacing w:val="10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xODRkZTkzMzcxYzlkZTlhODQ0YTE1M2I5NzViNTYifQ=="/>
  </w:docVars>
  <w:rsids>
    <w:rsidRoot w:val="0030106B"/>
    <w:rsid w:val="00000698"/>
    <w:rsid w:val="000011A5"/>
    <w:rsid w:val="00010BF1"/>
    <w:rsid w:val="00023BDD"/>
    <w:rsid w:val="00024D0A"/>
    <w:rsid w:val="00030CB2"/>
    <w:rsid w:val="0004030A"/>
    <w:rsid w:val="00041346"/>
    <w:rsid w:val="00053AFD"/>
    <w:rsid w:val="00057C84"/>
    <w:rsid w:val="00074B50"/>
    <w:rsid w:val="00082A58"/>
    <w:rsid w:val="00091335"/>
    <w:rsid w:val="000B39FD"/>
    <w:rsid w:val="000B42FA"/>
    <w:rsid w:val="000B5AE0"/>
    <w:rsid w:val="000B6345"/>
    <w:rsid w:val="000B63B4"/>
    <w:rsid w:val="000B7901"/>
    <w:rsid w:val="000C000F"/>
    <w:rsid w:val="000C39BB"/>
    <w:rsid w:val="000D0EB2"/>
    <w:rsid w:val="000D4ADE"/>
    <w:rsid w:val="000E5582"/>
    <w:rsid w:val="0010654E"/>
    <w:rsid w:val="001139C2"/>
    <w:rsid w:val="00115C13"/>
    <w:rsid w:val="0012051F"/>
    <w:rsid w:val="00121ED2"/>
    <w:rsid w:val="001327F4"/>
    <w:rsid w:val="00137A95"/>
    <w:rsid w:val="001431C5"/>
    <w:rsid w:val="001558BB"/>
    <w:rsid w:val="00161377"/>
    <w:rsid w:val="001640FF"/>
    <w:rsid w:val="00185DB9"/>
    <w:rsid w:val="001A356B"/>
    <w:rsid w:val="001A75DA"/>
    <w:rsid w:val="001B3C20"/>
    <w:rsid w:val="001B446C"/>
    <w:rsid w:val="001B75A4"/>
    <w:rsid w:val="001C6A57"/>
    <w:rsid w:val="001D4B6A"/>
    <w:rsid w:val="001D7AA6"/>
    <w:rsid w:val="001F28D0"/>
    <w:rsid w:val="00204073"/>
    <w:rsid w:val="0020584D"/>
    <w:rsid w:val="00206E9A"/>
    <w:rsid w:val="002171BF"/>
    <w:rsid w:val="00227709"/>
    <w:rsid w:val="0023368B"/>
    <w:rsid w:val="00234448"/>
    <w:rsid w:val="00245D1C"/>
    <w:rsid w:val="002474B6"/>
    <w:rsid w:val="00256960"/>
    <w:rsid w:val="00280711"/>
    <w:rsid w:val="00281884"/>
    <w:rsid w:val="00294097"/>
    <w:rsid w:val="0029418C"/>
    <w:rsid w:val="002943CB"/>
    <w:rsid w:val="00295ECF"/>
    <w:rsid w:val="002A0169"/>
    <w:rsid w:val="002A0F48"/>
    <w:rsid w:val="002A2CD7"/>
    <w:rsid w:val="002A51E4"/>
    <w:rsid w:val="002A5A75"/>
    <w:rsid w:val="002A5DBC"/>
    <w:rsid w:val="002A65D9"/>
    <w:rsid w:val="002B2AAE"/>
    <w:rsid w:val="002C1253"/>
    <w:rsid w:val="002D08D1"/>
    <w:rsid w:val="002D15BB"/>
    <w:rsid w:val="002E1703"/>
    <w:rsid w:val="0030106B"/>
    <w:rsid w:val="00303D8C"/>
    <w:rsid w:val="0030567C"/>
    <w:rsid w:val="00311A58"/>
    <w:rsid w:val="00313BCD"/>
    <w:rsid w:val="00321509"/>
    <w:rsid w:val="003233D3"/>
    <w:rsid w:val="00332B69"/>
    <w:rsid w:val="003336D7"/>
    <w:rsid w:val="0033419E"/>
    <w:rsid w:val="00341B76"/>
    <w:rsid w:val="00341D2E"/>
    <w:rsid w:val="00346900"/>
    <w:rsid w:val="00363E08"/>
    <w:rsid w:val="0036611E"/>
    <w:rsid w:val="00373383"/>
    <w:rsid w:val="0037562E"/>
    <w:rsid w:val="00385BF9"/>
    <w:rsid w:val="00395696"/>
    <w:rsid w:val="00397CCF"/>
    <w:rsid w:val="003A0AAC"/>
    <w:rsid w:val="003A37D8"/>
    <w:rsid w:val="003A5CDE"/>
    <w:rsid w:val="003A6D15"/>
    <w:rsid w:val="003A708B"/>
    <w:rsid w:val="003B067A"/>
    <w:rsid w:val="003B4425"/>
    <w:rsid w:val="003E2DEF"/>
    <w:rsid w:val="00406DEA"/>
    <w:rsid w:val="00426BA3"/>
    <w:rsid w:val="00432A36"/>
    <w:rsid w:val="004357E2"/>
    <w:rsid w:val="00440ACF"/>
    <w:rsid w:val="00477CE5"/>
    <w:rsid w:val="004804E6"/>
    <w:rsid w:val="00480711"/>
    <w:rsid w:val="00486DEB"/>
    <w:rsid w:val="00491A3E"/>
    <w:rsid w:val="00495E6D"/>
    <w:rsid w:val="004A01C4"/>
    <w:rsid w:val="004A4505"/>
    <w:rsid w:val="004A7884"/>
    <w:rsid w:val="004B090D"/>
    <w:rsid w:val="004B4F03"/>
    <w:rsid w:val="004C2305"/>
    <w:rsid w:val="004D5768"/>
    <w:rsid w:val="004E5D20"/>
    <w:rsid w:val="004E6E86"/>
    <w:rsid w:val="004E7557"/>
    <w:rsid w:val="004F1926"/>
    <w:rsid w:val="004F7B84"/>
    <w:rsid w:val="005050A2"/>
    <w:rsid w:val="005258EA"/>
    <w:rsid w:val="00525A72"/>
    <w:rsid w:val="0052734A"/>
    <w:rsid w:val="0052744F"/>
    <w:rsid w:val="00530B6C"/>
    <w:rsid w:val="00532E4E"/>
    <w:rsid w:val="0054053F"/>
    <w:rsid w:val="00545EA5"/>
    <w:rsid w:val="00550D46"/>
    <w:rsid w:val="00557005"/>
    <w:rsid w:val="00560C0C"/>
    <w:rsid w:val="0056787B"/>
    <w:rsid w:val="00572C05"/>
    <w:rsid w:val="00582A71"/>
    <w:rsid w:val="00596DC2"/>
    <w:rsid w:val="005A2704"/>
    <w:rsid w:val="005C22DF"/>
    <w:rsid w:val="005D17E8"/>
    <w:rsid w:val="005D2281"/>
    <w:rsid w:val="005E3BEE"/>
    <w:rsid w:val="00601332"/>
    <w:rsid w:val="00603667"/>
    <w:rsid w:val="00620304"/>
    <w:rsid w:val="00627B0B"/>
    <w:rsid w:val="006426FD"/>
    <w:rsid w:val="00647C24"/>
    <w:rsid w:val="00650317"/>
    <w:rsid w:val="00652295"/>
    <w:rsid w:val="006654F4"/>
    <w:rsid w:val="00670318"/>
    <w:rsid w:val="0068173B"/>
    <w:rsid w:val="00682C78"/>
    <w:rsid w:val="006834D4"/>
    <w:rsid w:val="006838BA"/>
    <w:rsid w:val="00685EE4"/>
    <w:rsid w:val="006864EA"/>
    <w:rsid w:val="006940F8"/>
    <w:rsid w:val="006A6358"/>
    <w:rsid w:val="006B68D2"/>
    <w:rsid w:val="006C1D30"/>
    <w:rsid w:val="006C3692"/>
    <w:rsid w:val="006C6460"/>
    <w:rsid w:val="006D0C46"/>
    <w:rsid w:val="006D24E1"/>
    <w:rsid w:val="006E69AD"/>
    <w:rsid w:val="006F59CE"/>
    <w:rsid w:val="006F7788"/>
    <w:rsid w:val="0070377B"/>
    <w:rsid w:val="00704BDA"/>
    <w:rsid w:val="00713A03"/>
    <w:rsid w:val="00716F55"/>
    <w:rsid w:val="00721EC4"/>
    <w:rsid w:val="0072358F"/>
    <w:rsid w:val="00724798"/>
    <w:rsid w:val="00732866"/>
    <w:rsid w:val="0073541C"/>
    <w:rsid w:val="00742B06"/>
    <w:rsid w:val="00744850"/>
    <w:rsid w:val="00745D19"/>
    <w:rsid w:val="0074770C"/>
    <w:rsid w:val="00747780"/>
    <w:rsid w:val="00754EFB"/>
    <w:rsid w:val="00757933"/>
    <w:rsid w:val="0076516B"/>
    <w:rsid w:val="00775034"/>
    <w:rsid w:val="00775D4A"/>
    <w:rsid w:val="00776C9F"/>
    <w:rsid w:val="0078259D"/>
    <w:rsid w:val="00792D2E"/>
    <w:rsid w:val="00793EC7"/>
    <w:rsid w:val="0079517B"/>
    <w:rsid w:val="007A3274"/>
    <w:rsid w:val="007A3969"/>
    <w:rsid w:val="007B02AC"/>
    <w:rsid w:val="007B39EC"/>
    <w:rsid w:val="007B538D"/>
    <w:rsid w:val="007B6CD5"/>
    <w:rsid w:val="007C1D74"/>
    <w:rsid w:val="007C3FE7"/>
    <w:rsid w:val="007D5A2D"/>
    <w:rsid w:val="007D6D43"/>
    <w:rsid w:val="007D7B4C"/>
    <w:rsid w:val="007E251F"/>
    <w:rsid w:val="007F5B17"/>
    <w:rsid w:val="00806C4C"/>
    <w:rsid w:val="00806ED7"/>
    <w:rsid w:val="00816668"/>
    <w:rsid w:val="0082494B"/>
    <w:rsid w:val="00827280"/>
    <w:rsid w:val="00832BE9"/>
    <w:rsid w:val="0085115F"/>
    <w:rsid w:val="00851568"/>
    <w:rsid w:val="008557C6"/>
    <w:rsid w:val="00863B7A"/>
    <w:rsid w:val="00865B33"/>
    <w:rsid w:val="008773EE"/>
    <w:rsid w:val="00885A35"/>
    <w:rsid w:val="008943C8"/>
    <w:rsid w:val="008B2331"/>
    <w:rsid w:val="008C1369"/>
    <w:rsid w:val="008D0665"/>
    <w:rsid w:val="008D429B"/>
    <w:rsid w:val="008E3E61"/>
    <w:rsid w:val="008E6363"/>
    <w:rsid w:val="008E6A71"/>
    <w:rsid w:val="008E7A37"/>
    <w:rsid w:val="008F234F"/>
    <w:rsid w:val="009174BB"/>
    <w:rsid w:val="0092478F"/>
    <w:rsid w:val="00925FC9"/>
    <w:rsid w:val="009331FD"/>
    <w:rsid w:val="009333AA"/>
    <w:rsid w:val="00934E05"/>
    <w:rsid w:val="00935891"/>
    <w:rsid w:val="00940044"/>
    <w:rsid w:val="0094249D"/>
    <w:rsid w:val="00945FB0"/>
    <w:rsid w:val="00950CDE"/>
    <w:rsid w:val="00960496"/>
    <w:rsid w:val="009613A2"/>
    <w:rsid w:val="00961EA2"/>
    <w:rsid w:val="00971000"/>
    <w:rsid w:val="0097497E"/>
    <w:rsid w:val="00975C5B"/>
    <w:rsid w:val="00976677"/>
    <w:rsid w:val="009818A0"/>
    <w:rsid w:val="009954C9"/>
    <w:rsid w:val="009A2231"/>
    <w:rsid w:val="009A31DA"/>
    <w:rsid w:val="009A74AD"/>
    <w:rsid w:val="009B74D4"/>
    <w:rsid w:val="009C5CD8"/>
    <w:rsid w:val="009D120F"/>
    <w:rsid w:val="009D7338"/>
    <w:rsid w:val="009E042D"/>
    <w:rsid w:val="009E0DFB"/>
    <w:rsid w:val="009F09A1"/>
    <w:rsid w:val="009F0AD2"/>
    <w:rsid w:val="009F62E4"/>
    <w:rsid w:val="00A02722"/>
    <w:rsid w:val="00A27C51"/>
    <w:rsid w:val="00A33158"/>
    <w:rsid w:val="00A3727E"/>
    <w:rsid w:val="00A51941"/>
    <w:rsid w:val="00A618DD"/>
    <w:rsid w:val="00A914B8"/>
    <w:rsid w:val="00AA02A0"/>
    <w:rsid w:val="00AA039E"/>
    <w:rsid w:val="00AA0D27"/>
    <w:rsid w:val="00AA5010"/>
    <w:rsid w:val="00AA66E2"/>
    <w:rsid w:val="00AB69C2"/>
    <w:rsid w:val="00AC64BC"/>
    <w:rsid w:val="00AD23B5"/>
    <w:rsid w:val="00AF462B"/>
    <w:rsid w:val="00AF7C1B"/>
    <w:rsid w:val="00B0192D"/>
    <w:rsid w:val="00B0594F"/>
    <w:rsid w:val="00B17AA9"/>
    <w:rsid w:val="00B26D30"/>
    <w:rsid w:val="00B27A3A"/>
    <w:rsid w:val="00B3348B"/>
    <w:rsid w:val="00B36F31"/>
    <w:rsid w:val="00B3721E"/>
    <w:rsid w:val="00B429F9"/>
    <w:rsid w:val="00B44D3C"/>
    <w:rsid w:val="00B540E1"/>
    <w:rsid w:val="00B615BD"/>
    <w:rsid w:val="00B6319E"/>
    <w:rsid w:val="00B95657"/>
    <w:rsid w:val="00BA39F3"/>
    <w:rsid w:val="00BA5EA9"/>
    <w:rsid w:val="00BB2B98"/>
    <w:rsid w:val="00BC3F97"/>
    <w:rsid w:val="00BD3C3A"/>
    <w:rsid w:val="00BD4CB1"/>
    <w:rsid w:val="00BE1DD2"/>
    <w:rsid w:val="00BE2640"/>
    <w:rsid w:val="00BF0B6A"/>
    <w:rsid w:val="00BF44E3"/>
    <w:rsid w:val="00BF4CE2"/>
    <w:rsid w:val="00BF650C"/>
    <w:rsid w:val="00C071E5"/>
    <w:rsid w:val="00C268F5"/>
    <w:rsid w:val="00C26C4C"/>
    <w:rsid w:val="00C359CA"/>
    <w:rsid w:val="00C552F0"/>
    <w:rsid w:val="00C61367"/>
    <w:rsid w:val="00C61F89"/>
    <w:rsid w:val="00C66936"/>
    <w:rsid w:val="00C82A0C"/>
    <w:rsid w:val="00C847C1"/>
    <w:rsid w:val="00CA61CA"/>
    <w:rsid w:val="00CA6C28"/>
    <w:rsid w:val="00CB65A6"/>
    <w:rsid w:val="00CB78AC"/>
    <w:rsid w:val="00CC1069"/>
    <w:rsid w:val="00CC773F"/>
    <w:rsid w:val="00CD14BA"/>
    <w:rsid w:val="00CE6BB8"/>
    <w:rsid w:val="00CF1935"/>
    <w:rsid w:val="00CF4152"/>
    <w:rsid w:val="00D00608"/>
    <w:rsid w:val="00D074CA"/>
    <w:rsid w:val="00D16306"/>
    <w:rsid w:val="00D40704"/>
    <w:rsid w:val="00D67C46"/>
    <w:rsid w:val="00D80FFC"/>
    <w:rsid w:val="00D85451"/>
    <w:rsid w:val="00D87325"/>
    <w:rsid w:val="00DA7B71"/>
    <w:rsid w:val="00DB0852"/>
    <w:rsid w:val="00DB1DFA"/>
    <w:rsid w:val="00DB3DAB"/>
    <w:rsid w:val="00DC18FC"/>
    <w:rsid w:val="00DD5595"/>
    <w:rsid w:val="00DE3F34"/>
    <w:rsid w:val="00E05C4C"/>
    <w:rsid w:val="00E065DD"/>
    <w:rsid w:val="00E06926"/>
    <w:rsid w:val="00E076D8"/>
    <w:rsid w:val="00E15248"/>
    <w:rsid w:val="00E153F9"/>
    <w:rsid w:val="00E156A1"/>
    <w:rsid w:val="00E1779E"/>
    <w:rsid w:val="00E3729F"/>
    <w:rsid w:val="00E439CC"/>
    <w:rsid w:val="00E45A91"/>
    <w:rsid w:val="00E510C7"/>
    <w:rsid w:val="00E6365E"/>
    <w:rsid w:val="00E664A1"/>
    <w:rsid w:val="00E7103A"/>
    <w:rsid w:val="00E73768"/>
    <w:rsid w:val="00E918BF"/>
    <w:rsid w:val="00EB0721"/>
    <w:rsid w:val="00EB255F"/>
    <w:rsid w:val="00EB58B9"/>
    <w:rsid w:val="00EB5ACD"/>
    <w:rsid w:val="00EB7248"/>
    <w:rsid w:val="00ED2D29"/>
    <w:rsid w:val="00ED30F2"/>
    <w:rsid w:val="00ED65CD"/>
    <w:rsid w:val="00ED7165"/>
    <w:rsid w:val="00F0101A"/>
    <w:rsid w:val="00F04198"/>
    <w:rsid w:val="00F066DB"/>
    <w:rsid w:val="00F06D4D"/>
    <w:rsid w:val="00F216D6"/>
    <w:rsid w:val="00F2235A"/>
    <w:rsid w:val="00F36B28"/>
    <w:rsid w:val="00F54108"/>
    <w:rsid w:val="00F67A51"/>
    <w:rsid w:val="00F70B6F"/>
    <w:rsid w:val="00F80F36"/>
    <w:rsid w:val="00F81E7C"/>
    <w:rsid w:val="00FA7BC0"/>
    <w:rsid w:val="00FB5D64"/>
    <w:rsid w:val="00FB6BEB"/>
    <w:rsid w:val="00FC3B73"/>
    <w:rsid w:val="00FD2F45"/>
    <w:rsid w:val="00FE199A"/>
    <w:rsid w:val="00FE269F"/>
    <w:rsid w:val="00FE2F98"/>
    <w:rsid w:val="00FE6C01"/>
    <w:rsid w:val="012F2443"/>
    <w:rsid w:val="01825488"/>
    <w:rsid w:val="018C0E03"/>
    <w:rsid w:val="01BA61B0"/>
    <w:rsid w:val="01BB516D"/>
    <w:rsid w:val="02BA0F2C"/>
    <w:rsid w:val="03CB3F9B"/>
    <w:rsid w:val="03D42F29"/>
    <w:rsid w:val="03E47515"/>
    <w:rsid w:val="045521C0"/>
    <w:rsid w:val="049814E0"/>
    <w:rsid w:val="053B0618"/>
    <w:rsid w:val="05DB7E97"/>
    <w:rsid w:val="06836769"/>
    <w:rsid w:val="06EA0626"/>
    <w:rsid w:val="088A7F5F"/>
    <w:rsid w:val="089A4646"/>
    <w:rsid w:val="08A95854"/>
    <w:rsid w:val="08BD7FAD"/>
    <w:rsid w:val="08CF6958"/>
    <w:rsid w:val="090827CD"/>
    <w:rsid w:val="09D81E8C"/>
    <w:rsid w:val="0A0F696E"/>
    <w:rsid w:val="0A1102E2"/>
    <w:rsid w:val="0A480B9C"/>
    <w:rsid w:val="0B4524FB"/>
    <w:rsid w:val="0BE5112D"/>
    <w:rsid w:val="0BF57DE5"/>
    <w:rsid w:val="0C470F50"/>
    <w:rsid w:val="0C5E57C4"/>
    <w:rsid w:val="0C676F35"/>
    <w:rsid w:val="0D354400"/>
    <w:rsid w:val="0D742563"/>
    <w:rsid w:val="0E3A4297"/>
    <w:rsid w:val="0E527771"/>
    <w:rsid w:val="0EA855E3"/>
    <w:rsid w:val="0EE77A81"/>
    <w:rsid w:val="0F2664F6"/>
    <w:rsid w:val="0F277E39"/>
    <w:rsid w:val="0FE268D2"/>
    <w:rsid w:val="103510F8"/>
    <w:rsid w:val="107365F0"/>
    <w:rsid w:val="1109680C"/>
    <w:rsid w:val="11296A34"/>
    <w:rsid w:val="117774DD"/>
    <w:rsid w:val="12371157"/>
    <w:rsid w:val="128F4AEF"/>
    <w:rsid w:val="1293615E"/>
    <w:rsid w:val="137D5290"/>
    <w:rsid w:val="13983E78"/>
    <w:rsid w:val="143815AA"/>
    <w:rsid w:val="14401B9A"/>
    <w:rsid w:val="14E45A3A"/>
    <w:rsid w:val="14E86739"/>
    <w:rsid w:val="14F00C9E"/>
    <w:rsid w:val="151A4A2D"/>
    <w:rsid w:val="159B7C4F"/>
    <w:rsid w:val="15BD5E17"/>
    <w:rsid w:val="160C46A9"/>
    <w:rsid w:val="165A3666"/>
    <w:rsid w:val="1773377D"/>
    <w:rsid w:val="19807C1E"/>
    <w:rsid w:val="19AF1F1B"/>
    <w:rsid w:val="1B776A68"/>
    <w:rsid w:val="1BCB46BE"/>
    <w:rsid w:val="1C0C42AF"/>
    <w:rsid w:val="1C2370E7"/>
    <w:rsid w:val="1C9D605B"/>
    <w:rsid w:val="1DD27F86"/>
    <w:rsid w:val="1F2B35EE"/>
    <w:rsid w:val="20250841"/>
    <w:rsid w:val="212E7BC9"/>
    <w:rsid w:val="21FA7AAB"/>
    <w:rsid w:val="22566075"/>
    <w:rsid w:val="2291000C"/>
    <w:rsid w:val="23737B15"/>
    <w:rsid w:val="25140F7F"/>
    <w:rsid w:val="276460F3"/>
    <w:rsid w:val="28EF7C3E"/>
    <w:rsid w:val="29114058"/>
    <w:rsid w:val="29224275"/>
    <w:rsid w:val="29657F00"/>
    <w:rsid w:val="296A1CA7"/>
    <w:rsid w:val="29D4444C"/>
    <w:rsid w:val="29D924F1"/>
    <w:rsid w:val="2A1536D4"/>
    <w:rsid w:val="2B3B53BD"/>
    <w:rsid w:val="2BB60EE7"/>
    <w:rsid w:val="2BEC6A86"/>
    <w:rsid w:val="2C932FD6"/>
    <w:rsid w:val="2D4542D1"/>
    <w:rsid w:val="2EBC4560"/>
    <w:rsid w:val="2F792957"/>
    <w:rsid w:val="2F9C6646"/>
    <w:rsid w:val="30BA4FD6"/>
    <w:rsid w:val="31104BF6"/>
    <w:rsid w:val="31684A32"/>
    <w:rsid w:val="31DB583A"/>
    <w:rsid w:val="33370B5F"/>
    <w:rsid w:val="34140EA1"/>
    <w:rsid w:val="35154ED0"/>
    <w:rsid w:val="353A4937"/>
    <w:rsid w:val="35D5640E"/>
    <w:rsid w:val="36FD6C55"/>
    <w:rsid w:val="37BF6F64"/>
    <w:rsid w:val="3836588A"/>
    <w:rsid w:val="38606463"/>
    <w:rsid w:val="38C74734"/>
    <w:rsid w:val="393C6ED0"/>
    <w:rsid w:val="39B5458C"/>
    <w:rsid w:val="3A934624"/>
    <w:rsid w:val="3ACF72AE"/>
    <w:rsid w:val="3B190B4B"/>
    <w:rsid w:val="3B6E0E96"/>
    <w:rsid w:val="3B844B5E"/>
    <w:rsid w:val="3EC05EAD"/>
    <w:rsid w:val="3F674CB6"/>
    <w:rsid w:val="3FCC6AD3"/>
    <w:rsid w:val="41432DC5"/>
    <w:rsid w:val="41E974C9"/>
    <w:rsid w:val="42162288"/>
    <w:rsid w:val="437600FE"/>
    <w:rsid w:val="43A538C3"/>
    <w:rsid w:val="44CB1108"/>
    <w:rsid w:val="4538077D"/>
    <w:rsid w:val="4556401B"/>
    <w:rsid w:val="468C14EB"/>
    <w:rsid w:val="46E1485D"/>
    <w:rsid w:val="46E22739"/>
    <w:rsid w:val="480F1C53"/>
    <w:rsid w:val="482E032B"/>
    <w:rsid w:val="485D3817"/>
    <w:rsid w:val="487216E8"/>
    <w:rsid w:val="492F0B49"/>
    <w:rsid w:val="4A3414FD"/>
    <w:rsid w:val="4AD44F71"/>
    <w:rsid w:val="4AE03433"/>
    <w:rsid w:val="4B685203"/>
    <w:rsid w:val="4D0C49B3"/>
    <w:rsid w:val="4D703FFF"/>
    <w:rsid w:val="4E6D3574"/>
    <w:rsid w:val="4E8011B5"/>
    <w:rsid w:val="4F2F3FA1"/>
    <w:rsid w:val="4F624D5E"/>
    <w:rsid w:val="4F674123"/>
    <w:rsid w:val="4FF82FCD"/>
    <w:rsid w:val="50146059"/>
    <w:rsid w:val="50441F68"/>
    <w:rsid w:val="50746AF7"/>
    <w:rsid w:val="51112598"/>
    <w:rsid w:val="51750D79"/>
    <w:rsid w:val="541008E5"/>
    <w:rsid w:val="5471046A"/>
    <w:rsid w:val="54FC355F"/>
    <w:rsid w:val="55597ADB"/>
    <w:rsid w:val="570E431B"/>
    <w:rsid w:val="573009E7"/>
    <w:rsid w:val="573174F0"/>
    <w:rsid w:val="57AE6D93"/>
    <w:rsid w:val="57DB161B"/>
    <w:rsid w:val="582B090E"/>
    <w:rsid w:val="58D345D7"/>
    <w:rsid w:val="59D23552"/>
    <w:rsid w:val="5A7D47FA"/>
    <w:rsid w:val="5AB87F28"/>
    <w:rsid w:val="5B750AF9"/>
    <w:rsid w:val="5C6043D4"/>
    <w:rsid w:val="5C841E70"/>
    <w:rsid w:val="5CAB1AF3"/>
    <w:rsid w:val="5E5D6E1D"/>
    <w:rsid w:val="5F816B3B"/>
    <w:rsid w:val="60067040"/>
    <w:rsid w:val="604D0DD3"/>
    <w:rsid w:val="60844B35"/>
    <w:rsid w:val="609B3C2C"/>
    <w:rsid w:val="617050B9"/>
    <w:rsid w:val="61D20F2B"/>
    <w:rsid w:val="62137B25"/>
    <w:rsid w:val="628C5F22"/>
    <w:rsid w:val="6292739D"/>
    <w:rsid w:val="62D376AD"/>
    <w:rsid w:val="62E03578"/>
    <w:rsid w:val="63414F5F"/>
    <w:rsid w:val="637160AB"/>
    <w:rsid w:val="65BC6B1F"/>
    <w:rsid w:val="65E44D4C"/>
    <w:rsid w:val="65F76563"/>
    <w:rsid w:val="66291CDA"/>
    <w:rsid w:val="668D6ECC"/>
    <w:rsid w:val="66A355E9"/>
    <w:rsid w:val="675B4B07"/>
    <w:rsid w:val="677376B1"/>
    <w:rsid w:val="69BC750D"/>
    <w:rsid w:val="69E7708D"/>
    <w:rsid w:val="6B3929BF"/>
    <w:rsid w:val="6C9F2CF6"/>
    <w:rsid w:val="6E006A52"/>
    <w:rsid w:val="6EA939B8"/>
    <w:rsid w:val="6F5F177E"/>
    <w:rsid w:val="6F865AA7"/>
    <w:rsid w:val="6FD97A1B"/>
    <w:rsid w:val="6FE32EFA"/>
    <w:rsid w:val="709E186B"/>
    <w:rsid w:val="70AF61D1"/>
    <w:rsid w:val="70CB21E7"/>
    <w:rsid w:val="70FA499F"/>
    <w:rsid w:val="714479C8"/>
    <w:rsid w:val="714D7E5F"/>
    <w:rsid w:val="716F713B"/>
    <w:rsid w:val="72DD6326"/>
    <w:rsid w:val="746D19CA"/>
    <w:rsid w:val="74D10EC7"/>
    <w:rsid w:val="757E170D"/>
    <w:rsid w:val="75970A0E"/>
    <w:rsid w:val="75DE3F93"/>
    <w:rsid w:val="76236746"/>
    <w:rsid w:val="76317F9B"/>
    <w:rsid w:val="76B86E8E"/>
    <w:rsid w:val="76EF1997"/>
    <w:rsid w:val="76FD6F97"/>
    <w:rsid w:val="770D4C48"/>
    <w:rsid w:val="77534E09"/>
    <w:rsid w:val="77F43101"/>
    <w:rsid w:val="7856695F"/>
    <w:rsid w:val="79314CD6"/>
    <w:rsid w:val="794C38BE"/>
    <w:rsid w:val="79996046"/>
    <w:rsid w:val="7AEA5A84"/>
    <w:rsid w:val="7B79577B"/>
    <w:rsid w:val="7CE56BFB"/>
    <w:rsid w:val="7CFE1373"/>
    <w:rsid w:val="7D80447E"/>
    <w:rsid w:val="7E0A649D"/>
    <w:rsid w:val="7EF97CE5"/>
    <w:rsid w:val="7F2D4191"/>
    <w:rsid w:val="7FA6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iPriority="99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仿宋_GB2312" w:hAnsi="Times New Roman" w:eastAsia="仿宋_GB2312" w:cs="Times New Roman"/>
      <w:szCs w:val="36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  <w:lang w:val="zh-CN" w:eastAsia="zh-CN"/>
    </w:rPr>
  </w:style>
  <w:style w:type="paragraph" w:styleId="4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  <w:lang w:val="zh-CN" w:eastAsia="zh-CN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6">
    <w:name w:val="index 9"/>
    <w:basedOn w:val="1"/>
    <w:next w:val="1"/>
    <w:unhideWhenUsed/>
    <w:qFormat/>
    <w:uiPriority w:val="99"/>
    <w:pPr>
      <w:spacing w:before="100" w:beforeAutospacing="1" w:after="100" w:afterAutospacing="1"/>
      <w:ind w:left="1600" w:leftChars="1600"/>
    </w:pPr>
  </w:style>
  <w:style w:type="paragraph" w:styleId="7">
    <w:name w:val="Normal (Web)"/>
    <w:basedOn w:val="1"/>
    <w:qFormat/>
    <w:uiPriority w:val="99"/>
    <w:pPr>
      <w:widowControl w:val="0"/>
      <w:spacing w:beforeAutospacing="1" w:afterAutospacing="1" w:line="360" w:lineRule="auto"/>
    </w:pPr>
    <w:rPr>
      <w:rFonts w:ascii="Calibri" w:hAnsi="Calibri" w:eastAsia="宋体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qFormat/>
    <w:uiPriority w:val="0"/>
  </w:style>
  <w:style w:type="character" w:customStyle="1" w:styleId="12">
    <w:name w:val="页眉 字符"/>
    <w:link w:val="5"/>
    <w:qFormat/>
    <w:uiPriority w:val="99"/>
    <w:rPr>
      <w:sz w:val="18"/>
      <w:szCs w:val="18"/>
    </w:rPr>
  </w:style>
  <w:style w:type="character" w:customStyle="1" w:styleId="13">
    <w:name w:val="批注框文本 字符"/>
    <w:link w:val="3"/>
    <w:semiHidden/>
    <w:qFormat/>
    <w:uiPriority w:val="99"/>
    <w:rPr>
      <w:sz w:val="18"/>
      <w:szCs w:val="18"/>
    </w:rPr>
  </w:style>
  <w:style w:type="character" w:customStyle="1" w:styleId="14">
    <w:name w:val="页脚 字符1"/>
    <w:link w:val="4"/>
    <w:qFormat/>
    <w:uiPriority w:val="0"/>
    <w:rPr>
      <w:sz w:val="18"/>
      <w:szCs w:val="18"/>
    </w:rPr>
  </w:style>
  <w:style w:type="paragraph" w:customStyle="1" w:styleId="15">
    <w:name w:val="p0"/>
    <w:basedOn w:val="1"/>
    <w:qFormat/>
    <w:uiPriority w:val="0"/>
    <w:pPr>
      <w:spacing w:before="100" w:beforeAutospacing="1" w:after="100" w:afterAutospacing="1" w:line="432" w:lineRule="atLeast"/>
    </w:pPr>
    <w:rPr>
      <w:rFonts w:ascii="宋体" w:hAnsi="宋体" w:eastAsia="宋体" w:cs="宋体"/>
      <w:sz w:val="24"/>
      <w:szCs w:val="24"/>
    </w:rPr>
  </w:style>
  <w:style w:type="paragraph" w:customStyle="1" w:styleId="16">
    <w:name w:val="普通(网站)1"/>
    <w:basedOn w:val="1"/>
    <w:qFormat/>
    <w:uiPriority w:val="0"/>
    <w:pPr>
      <w:spacing w:before="100" w:beforeAutospacing="1" w:after="100" w:afterAutospacing="1"/>
    </w:pPr>
    <w:rPr>
      <w:rFonts w:ascii="宋体" w:hAnsi="宋体" w:eastAsia="宋体"/>
      <w:sz w:val="24"/>
      <w:szCs w:val="22"/>
    </w:rPr>
  </w:style>
  <w:style w:type="paragraph" w:customStyle="1" w:styleId="17">
    <w:name w:val="列出段落1"/>
    <w:basedOn w:val="1"/>
    <w:qFormat/>
    <w:uiPriority w:val="0"/>
    <w:pPr>
      <w:widowControl w:val="0"/>
      <w:ind w:firstLine="420" w:firstLineChars="200"/>
      <w:jc w:val="both"/>
    </w:pPr>
    <w:rPr>
      <w:rFonts w:ascii="Times New Roman" w:eastAsia="宋体"/>
      <w:kern w:val="2"/>
      <w:sz w:val="21"/>
      <w:szCs w:val="21"/>
    </w:rPr>
  </w:style>
  <w:style w:type="character" w:customStyle="1" w:styleId="18">
    <w:name w:val="页脚 字符"/>
    <w:qFormat/>
    <w:uiPriority w:val="99"/>
    <w:rPr>
      <w:sz w:val="18"/>
      <w:szCs w:val="18"/>
    </w:rPr>
  </w:style>
  <w:style w:type="paragraph" w:customStyle="1" w:styleId="19">
    <w:name w:val="Other|1"/>
    <w:basedOn w:val="1"/>
    <w:qFormat/>
    <w:uiPriority w:val="0"/>
    <w:pPr>
      <w:widowControl w:val="0"/>
      <w:spacing w:line="410" w:lineRule="auto"/>
      <w:ind w:firstLine="400"/>
    </w:pPr>
    <w:rPr>
      <w:rFonts w:ascii="宋体" w:hAnsi="宋体" w:eastAsia="宋体" w:cs="宋体"/>
      <w:color w:val="000000"/>
      <w:sz w:val="30"/>
      <w:szCs w:val="30"/>
      <w:lang w:val="zh-TW" w:eastAsia="zh-TW" w:bidi="zh-TW"/>
    </w:rPr>
  </w:style>
  <w:style w:type="paragraph" w:customStyle="1" w:styleId="20">
    <w:name w:val="Body text|1"/>
    <w:basedOn w:val="1"/>
    <w:qFormat/>
    <w:uiPriority w:val="0"/>
    <w:pPr>
      <w:widowControl w:val="0"/>
      <w:spacing w:line="410" w:lineRule="auto"/>
      <w:ind w:firstLine="400"/>
    </w:pPr>
    <w:rPr>
      <w:rFonts w:ascii="宋体" w:hAnsi="宋体" w:eastAsia="宋体" w:cs="宋体"/>
      <w:color w:val="000000"/>
      <w:sz w:val="30"/>
      <w:szCs w:val="30"/>
      <w:lang w:val="zh-TW" w:eastAsia="zh-TW" w:bidi="zh-TW"/>
    </w:rPr>
  </w:style>
  <w:style w:type="paragraph" w:styleId="21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6A4480-D02E-4F5C-BB25-7D4A8B5C26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sdnu</Company>
  <Pages>13</Pages>
  <Words>1649</Words>
  <Characters>1782</Characters>
  <Lines>5</Lines>
  <Paragraphs>1</Paragraphs>
  <TotalTime>102</TotalTime>
  <ScaleCrop>false</ScaleCrop>
  <LinksUpToDate>false</LinksUpToDate>
  <CharactersWithSpaces>1785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2022-03-09T09:39:00Z</dcterms:created>
  <dc:creator>wangsong</dc:creator>
  <cp:lastModifiedBy>lenovo</cp:lastModifiedBy>
  <cp:lastPrinted>2019-06-19T06:00:00Z</cp:lastPrinted>
  <dcterms:modified xsi:type="dcterms:W3CDTF">2025-09-05T08:41:13Z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ABF3B84B85CF4263B1B25B0B43A7A626_13</vt:lpwstr>
  </property>
  <property fmtid="{D5CDD505-2E9C-101B-9397-08002B2CF9AE}" pid="4" name="KSOTemplateDocerSaveRecord">
    <vt:lpwstr>eyJoZGlkIjoiZTZiYWFkODJjYjQ5YjQxZGZhZGNkOTgwZGM0ZmY2ZTUiLCJ1c2VySWQiOiI1MjkwNTM2NTYifQ==</vt:lpwstr>
  </property>
</Properties>
</file>