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0DC7B">
      <w:pPr>
        <w:widowControl w:val="0"/>
        <w:overflowPunct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</w:pPr>
      <w:bookmarkStart w:id="2" w:name="_GoBack"/>
      <w:bookmarkEnd w:id="2"/>
      <w:r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  <w:t>山东师范大学招标采购项目需求公示表</w:t>
      </w:r>
    </w:p>
    <w:p w14:paraId="1B47094B">
      <w:pPr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编号: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SDSL-202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6-159</w:t>
      </w:r>
    </w:p>
    <w:tbl>
      <w:tblPr>
        <w:tblStyle w:val="9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3C9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F3C34FA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基本情况</w:t>
            </w:r>
          </w:p>
        </w:tc>
      </w:tr>
      <w:tr w14:paraId="7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30B2D3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ED2AE2F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山东师范大学2026年化学院电感耦合等离子体质谱仪采购项目</w:t>
            </w:r>
          </w:p>
        </w:tc>
      </w:tr>
      <w:tr w14:paraId="2BA1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84CF04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AAAF5B7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化学化工与材料科学学院</w:t>
            </w:r>
          </w:p>
        </w:tc>
      </w:tr>
      <w:tr w14:paraId="2F3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627F65E3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7492D3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highlight w:val="none"/>
              </w:rPr>
              <w:t>山东善立招标有限公司</w:t>
            </w:r>
          </w:p>
        </w:tc>
      </w:tr>
      <w:tr w14:paraId="44B5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B4517FB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项目信息</w:t>
            </w:r>
          </w:p>
        </w:tc>
      </w:tr>
      <w:tr w14:paraId="787B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096D39B9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3E4C30D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BF9AE20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0499C03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53281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6736731E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0D72643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预算金额（最高限价）</w:t>
            </w:r>
          </w:p>
        </w:tc>
      </w:tr>
      <w:tr w14:paraId="102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4E0D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4C003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电感耦合等离子体质谱仪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1A1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39D7E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F7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135B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9CEDC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119.00万元</w:t>
            </w:r>
          </w:p>
        </w:tc>
      </w:tr>
      <w:tr w14:paraId="3095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2F1E1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bidi="zh-TW"/>
              </w:rPr>
              <w:t>描述</w:t>
            </w:r>
          </w:p>
        </w:tc>
      </w:tr>
      <w:tr w14:paraId="2CDF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8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4AA003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8D6D5E3">
            <w:pPr>
              <w:pStyle w:val="4"/>
              <w:spacing w:line="360" w:lineRule="auto"/>
              <w:ind w:left="0" w:left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  <w:t>一、项目概况</w:t>
            </w:r>
          </w:p>
          <w:p w14:paraId="679F3EFE">
            <w:pPr>
              <w:spacing w:line="360" w:lineRule="auto"/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本项目为山东师范大学2026年化学院电感耦合等离子体质谱仪采购项目，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119.00万元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。</w:t>
            </w:r>
          </w:p>
          <w:p w14:paraId="60EE4AF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0BF10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详见附件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详细技术要求。</w:t>
            </w:r>
          </w:p>
        </w:tc>
      </w:tr>
      <w:tr w14:paraId="79D8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5313CC1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745BF3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1B0E648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国产设备自合同签订之日起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30天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内供货安装调试完毕；进口设备自合同签订之日起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90天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内供货安装调试完毕。</w:t>
            </w:r>
          </w:p>
          <w:p w14:paraId="660A259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交付地点：</w:t>
            </w:r>
          </w:p>
          <w:p w14:paraId="790C834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设备全部到达山东师范大学校内指定地点。</w:t>
            </w:r>
          </w:p>
          <w:p w14:paraId="7016016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3、付款条件：</w:t>
            </w:r>
          </w:p>
          <w:p w14:paraId="6F391C1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国产设备：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14C62B2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进口设备：</w:t>
            </w:r>
          </w:p>
          <w:p w14:paraId="27D1142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1）经招标人归口管理部门备案同意，具有外贸代理业务能力的中标人：</w:t>
            </w:r>
          </w:p>
          <w:p w14:paraId="53F60FA0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5CC3477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2）由招标人指定外贸代理公司的中标人：</w:t>
            </w:r>
          </w:p>
          <w:p w14:paraId="0669BCD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方合同生效后，招标人预付合同金额100%货款给乙方（外贸代理公司），乙方与进口设备制造商签订外贸合同，并按照中标金额的百分比（中标确定）计取外贸代理服务费，丙方（中标人）承担所有外贸风险。乙方开具以丙方指定的进口设备制造商为受益人的100%不可撤销即期信用证，凭发货单据支付丙方合同金额的90%，剩余10%凭学校出具的验收报告支付。</w:t>
            </w:r>
          </w:p>
          <w:p w14:paraId="2AA95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4、验收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C827D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根据《山东省政府采购履约验收管理办法》及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要求进行验收。</w:t>
            </w:r>
          </w:p>
          <w:p w14:paraId="750C851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4.1货物运抵现场后，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将对货物数量、质量、规格等进行检验。如发现货物和规格或者两者都与招标文件、投标文件、合同不符，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有权限根据检验结果要求中标人立即更换或者提出索赔要求。</w:t>
            </w:r>
          </w:p>
          <w:p w14:paraId="7C5A0E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4.2货物由中标人进行安装，完毕后，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应对货物的数量、质量、规格、性能等进行详细而全面的检验。安装完毕7日后，证明货物以及安装质量无任何问题，由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组成的验收小组签署验收报告，作为付款凭据之一。</w:t>
            </w:r>
          </w:p>
          <w:p w14:paraId="25FAAE6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质保要求</w:t>
            </w:r>
          </w:p>
          <w:p w14:paraId="5198218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5.1质保期：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整机原厂质保三年，质保期自学校主管部门验收合格之日起计算。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（清单技术规格要求中有要求的按照清单要求执行）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63C6E834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5.2. 质保期内，因设备自身质量问题导致的故障，所有维修及更换零部件均免费。</w:t>
            </w:r>
          </w:p>
          <w:p w14:paraId="2C931FEC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5.3. 设备五年内提供免费移机一次，服务内容包含拆装机费、打包辅料费、搬运费等。</w:t>
            </w:r>
          </w:p>
          <w:p w14:paraId="2BF1CBB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5.4质保期内，责任工程师每年定期回访客户不少于4次，及时为设备进行检查和问诊。根据平台需要，每年不低于2次和平台合作进行设备表征等技术讲座，帮助学院师生更好地了解设备技术。</w:t>
            </w:r>
          </w:p>
          <w:p w14:paraId="63FD1239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5.5 质保期内，每年免费提供不低于2次维修保养服务，并免费提供维修所用的全部零部件 。</w:t>
            </w:r>
          </w:p>
          <w:p w14:paraId="7A9318A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可自行采取必要的补救措施，但风险和费用由中标人承担，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同时保留通过法律途径进行索赔的权利。</w:t>
            </w:r>
          </w:p>
          <w:p w14:paraId="0766353F">
            <w:pPr>
              <w:numPr>
                <w:ilvl w:val="0"/>
                <w:numId w:val="2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售后服务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777D308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6.1 售后响应时间：厂家在接到用户故障报修信息后2小时内予以响应，一般问题应在48小时内到达用户现场，排除故障。</w:t>
            </w:r>
          </w:p>
          <w:p w14:paraId="4FA7A75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投标人应提供及时周到的售后服务，应保证每季度至少一次上门回访、检修。</w:t>
            </w:r>
          </w:p>
          <w:p w14:paraId="7715540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投标人自报维修时间以及备品备件情况。</w:t>
            </w:r>
          </w:p>
          <w:p w14:paraId="11503F3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</w:p>
          <w:p w14:paraId="4E2E8BD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7.1仪器安装调试合格后，需根据采购人要求在用户现场免费对用户使用人员（3-6人）进行为期不少于5天的基本操作与应用培训，对用户进行仪器的基本原理、日常操作、维护和安全常识等技术培训，保证用户能独立进行操作和日常维护。</w:t>
            </w:r>
          </w:p>
          <w:p w14:paraId="44B422B6">
            <w:pPr>
              <w:spacing w:line="360" w:lineRule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7.2 质保期内，除安装培训外，每年免费提供不低于6人次的应用技术培训，其中3人次的厂家demo实验室培训（培训费、差旅住宿费均由厂家承担）；每年免费提供3人次及以上的用户现场高阶培训，每次时间不低于4天，具体日期及培训要求与用户协商。</w:t>
            </w:r>
          </w:p>
          <w:p w14:paraId="0B6E027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8、其他要求：</w:t>
            </w:r>
          </w:p>
          <w:p w14:paraId="3546B1BB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本项目为交钥匙项目，供应商需在到货前先行勘查用户仪器放置场地，并负责场地湿度/温度/避光/防尘/防震/通风/接地等环境满足仪器安装要求。到货后由中标人技术人员到现场免费进行安装调试，安装过程中所涉及场地内的铝板、水电、通风、防尘、避光等基本改造均由中标人负责，需保证设备在调试及试运行后应达到承诺的技术指标。 </w:t>
            </w:r>
          </w:p>
        </w:tc>
      </w:tr>
      <w:tr w14:paraId="59BA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3D708EC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B7DF204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highlight w:val="none"/>
                <w:u w:val="none"/>
                <w:lang w:val="zh-CN" w:eastAsia="zh-CN"/>
              </w:rPr>
              <w:t>《关于进一步发挥政府采购政策功能支持中小企业发展的通知》、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本国产品政策、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国家最新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政府采购政策。</w:t>
            </w:r>
          </w:p>
        </w:tc>
      </w:tr>
      <w:tr w14:paraId="53A3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9C60EB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3718F608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面向校内化学、材料、环境、生物等学科及校外高校、科研院所开放共享；每年培训独立操作人员≥10人次，支撑高水平论文发表和科研项目实施。纳入学校大型仪器共享平台统一管理，建立规范化运行维护机制，保障长期稳定运行。</w:t>
            </w:r>
          </w:p>
        </w:tc>
      </w:tr>
      <w:tr w14:paraId="48A9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237FFE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964C34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7528C44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满足《中华人民共和国政府采购法》第二十二条规定;</w:t>
            </w:r>
          </w:p>
          <w:p w14:paraId="59EB03A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实政府采购政策需满足的资格要求：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</w:p>
          <w:p w14:paraId="41BC3B7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本项目的特定资格要求：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02BA52A0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）单位负责人为同一人或者存在直接控股、管理关系的不同投标人，不得参加同一合同项下（同一包号）的政府采购活动；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如所投设备为进口产品的，应提供制造商或制造商的国内总代理出具的授权函（可追溯）。</w:t>
            </w:r>
          </w:p>
        </w:tc>
      </w:tr>
    </w:tbl>
    <w:p w14:paraId="38ADD40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详细技术要求</w:t>
      </w:r>
    </w:p>
    <w:tbl>
      <w:tblPr>
        <w:tblStyle w:val="9"/>
        <w:tblW w:w="13707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775"/>
        <w:gridCol w:w="11000"/>
      </w:tblGrid>
      <w:tr w14:paraId="7AEF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290D0FC8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序号</w:t>
            </w:r>
          </w:p>
        </w:tc>
        <w:tc>
          <w:tcPr>
            <w:tcW w:w="1775" w:type="dxa"/>
            <w:vAlign w:val="center"/>
          </w:tcPr>
          <w:p w14:paraId="2EBAE4F3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1000" w:type="dxa"/>
            <w:vAlign w:val="center"/>
          </w:tcPr>
          <w:p w14:paraId="579BA45B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技术参数与性能指标</w:t>
            </w:r>
          </w:p>
        </w:tc>
      </w:tr>
      <w:tr w14:paraId="47E2F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0" w:hRule="atLeast"/>
        </w:trPr>
        <w:tc>
          <w:tcPr>
            <w:tcW w:w="932" w:type="dxa"/>
            <w:vAlign w:val="center"/>
          </w:tcPr>
          <w:p w14:paraId="3C854092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548482D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电感耦合等离子体质谱仪</w:t>
            </w:r>
          </w:p>
        </w:tc>
        <w:tc>
          <w:tcPr>
            <w:tcW w:w="11000" w:type="dxa"/>
            <w:vAlign w:val="center"/>
          </w:tcPr>
          <w:p w14:paraId="32E5FD0F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>1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仪器主机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>硬件技术指标：</w:t>
            </w:r>
          </w:p>
          <w:p w14:paraId="3C29F98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1.1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雾化室：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石英材质雾室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，半导体制冷；</w:t>
            </w:r>
          </w:p>
          <w:p w14:paraId="315651B0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 xml:space="preserve">1.2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射频发生器：固态射频发生器，频率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27MHz；</w:t>
            </w:r>
          </w:p>
          <w:p w14:paraId="578895C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1.3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蠕动泵：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3通道蠕动泵，泵速可调；</w:t>
            </w:r>
          </w:p>
          <w:p w14:paraId="2DE66F5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1.4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工作气体控制：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气体质量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流量计控制各个工作气体，包括载气、辅助气、冷却气、基体进样系统气、碰撞反应气（可通入氧气等反应气）等多路质量流量控制气路；</w:t>
            </w:r>
          </w:p>
          <w:p w14:paraId="7C4984F0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1.5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矩管：一体化矩管或一体式炬管和中心管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炬管位置可在X、Y、Z三个方向通过软件自动调节优化；</w:t>
            </w:r>
          </w:p>
          <w:p w14:paraId="2B7DD77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1.6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接口：</w:t>
            </w:r>
          </w:p>
          <w:p w14:paraId="43F0088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采用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双锥或三锥设计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锥体材质为镍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铂，两种材质的锥体都应整套完整提供；</w:t>
            </w:r>
          </w:p>
          <w:p w14:paraId="6A833F7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1.7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透镜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光学系统；</w:t>
            </w:r>
          </w:p>
          <w:p w14:paraId="79C5EC6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1.8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离子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偏转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传输系统；</w:t>
            </w:r>
          </w:p>
          <w:p w14:paraId="05ACBA79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GB"/>
              </w:rPr>
              <w:t xml:space="preserve">1.9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多级杆组成的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GB"/>
              </w:rPr>
              <w:t>碰撞/反应池：碰撞/反应池可实现碰撞模式和反应模式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≥2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GB"/>
              </w:rPr>
              <w:t>种消除干扰的模式，可接多路碰撞气路或反应气路，所有气路均采用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电子流量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GB"/>
              </w:rPr>
              <w:t>控制；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可与四极杆质量分析器动态调谐；</w:t>
            </w:r>
          </w:p>
          <w:p w14:paraId="5756F4C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1.10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四极杆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质量分析器；</w:t>
            </w:r>
          </w:p>
          <w:p w14:paraId="3DF8B44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bookmarkStart w:id="0" w:name="OLE_LINK1"/>
            <w:bookmarkStart w:id="1" w:name="OLE_LINK2"/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1.11 </w:t>
            </w:r>
            <w:bookmarkEnd w:id="0"/>
            <w:bookmarkEnd w:id="1"/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质谱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质量范围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：3-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240amu；</w:t>
            </w:r>
          </w:p>
          <w:p w14:paraId="0929070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1.12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检测器：动态线性范围≥10个数量级；</w:t>
            </w:r>
          </w:p>
          <w:p w14:paraId="05FF34FE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 xml:space="preserve">1.13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>进样系统：具备气体稀释功能，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>耐高盐接口；</w:t>
            </w:r>
          </w:p>
          <w:p w14:paraId="2AA0B68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 xml:space="preserve">1.14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>自动进样器：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≥160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GB"/>
              </w:rPr>
              <w:t>位。</w:t>
            </w:r>
          </w:p>
          <w:p w14:paraId="62FBF129">
            <w:pPr>
              <w:pStyle w:val="2"/>
              <w:ind w:left="0" w:leftChars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1.15、满足持续供电</w:t>
            </w:r>
          </w:p>
          <w:p w14:paraId="728688F1">
            <w:pPr>
              <w:tabs>
                <w:tab w:val="left" w:pos="1133"/>
                <w:tab w:val="left" w:pos="2402"/>
                <w:tab w:val="left" w:pos="3562"/>
                <w:tab w:val="left" w:pos="5743"/>
                <w:tab w:val="left" w:pos="6986"/>
                <w:tab w:val="left" w:pos="8131"/>
              </w:tabs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2. 性能指标</w:t>
            </w:r>
          </w:p>
          <w:p w14:paraId="2E407F16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2.1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灵敏度： </w:t>
            </w:r>
          </w:p>
          <w:p w14:paraId="7B583A71">
            <w:pPr>
              <w:widowControl/>
              <w:spacing w:line="360" w:lineRule="auto"/>
              <w:ind w:firstLine="141" w:firstLineChars="59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低质量数Li:7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B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60 Mcps/ppm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； </w:t>
            </w:r>
          </w:p>
          <w:p w14:paraId="02C6FDE3">
            <w:pPr>
              <w:widowControl/>
              <w:spacing w:line="360" w:lineRule="auto"/>
              <w:ind w:firstLine="141" w:firstLineChars="59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中质量数 In115: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B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150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Mcps/pp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m；</w:t>
            </w:r>
          </w:p>
          <w:p w14:paraId="27069242">
            <w:pPr>
              <w:widowControl/>
              <w:spacing w:line="360" w:lineRule="auto"/>
              <w:ind w:firstLine="120" w:firstLineChars="50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高质量数 Tl205: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B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200 Mcps/ppm</w:t>
            </w:r>
          </w:p>
          <w:p w14:paraId="4225A893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2.2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>检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测限： </w:t>
            </w:r>
          </w:p>
          <w:p w14:paraId="39C0DB88">
            <w:pPr>
              <w:widowControl/>
              <w:spacing w:line="360" w:lineRule="auto"/>
              <w:ind w:firstLine="141" w:firstLineChars="59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低质量数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ja-JP"/>
              </w:rPr>
              <w:t>Be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0.5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>ppt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</w:t>
            </w:r>
          </w:p>
          <w:p w14:paraId="36B2B8DD">
            <w:pPr>
              <w:widowControl/>
              <w:spacing w:line="360" w:lineRule="auto"/>
              <w:ind w:firstLine="141" w:firstLineChars="59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中质量数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ja-JP"/>
              </w:rPr>
              <w:t>In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 xml:space="preserve"> 0.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t xml:space="preserve"> ppt</w:t>
            </w:r>
          </w:p>
          <w:p w14:paraId="016AC291">
            <w:pPr>
              <w:widowControl/>
              <w:spacing w:line="360" w:lineRule="auto"/>
              <w:ind w:firstLine="120" w:firstLineChars="50"/>
              <w:jc w:val="left"/>
              <w:rPr>
                <w:rFonts w:hint="eastAsia" w:ascii="宋体" w:hAnsi="宋体" w:eastAsia="宋体" w:cs="宋体"/>
                <w:strike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高质量数 Bi: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0.1 ppt或U (238)：＜ 0.1 ppt</w:t>
            </w:r>
          </w:p>
          <w:p w14:paraId="77B6E4B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2.3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氧化物指标</w:t>
            </w:r>
          </w:p>
          <w:p w14:paraId="3E70B7CA">
            <w:pPr>
              <w:widowControl/>
              <w:spacing w:line="360" w:lineRule="auto"/>
              <w:ind w:firstLine="42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CeO</w:t>
            </w:r>
            <w:r>
              <w:rPr>
                <w:rFonts w:hint="eastAsia" w:ascii="宋体" w:hAnsi="宋体" w:eastAsia="宋体" w:cs="宋体"/>
                <w:kern w:val="0"/>
                <w:sz w:val="24"/>
                <w:vertAlign w:val="superscript"/>
                <w:lang w:val="en-GB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Ce</w:t>
            </w:r>
            <w:r>
              <w:rPr>
                <w:rFonts w:hint="eastAsia" w:ascii="宋体" w:hAnsi="宋体" w:eastAsia="宋体" w:cs="宋体"/>
                <w:kern w:val="0"/>
                <w:sz w:val="24"/>
                <w:vertAlign w:val="superscript"/>
                <w:lang w:val="en-GB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2.5%；</w:t>
            </w:r>
          </w:p>
          <w:p w14:paraId="0547A3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2.4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双电荷干扰</w:t>
            </w:r>
          </w:p>
          <w:p w14:paraId="28477F1F">
            <w:pPr>
              <w:widowControl/>
              <w:spacing w:line="360" w:lineRule="auto"/>
              <w:ind w:firstLine="42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Ce</w:t>
            </w:r>
            <w:r>
              <w:rPr>
                <w:rFonts w:hint="eastAsia" w:ascii="宋体" w:hAnsi="宋体" w:eastAsia="宋体" w:cs="宋体"/>
                <w:kern w:val="0"/>
                <w:sz w:val="24"/>
                <w:vertAlign w:val="superscript"/>
                <w:lang w:val="en-GB"/>
              </w:rPr>
              <w:t>2+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Ce</w:t>
            </w:r>
            <w:r>
              <w:rPr>
                <w:rFonts w:hint="eastAsia" w:ascii="宋体" w:hAnsi="宋体" w:eastAsia="宋体" w:cs="宋体"/>
                <w:kern w:val="0"/>
                <w:sz w:val="24"/>
                <w:vertAlign w:val="superscript"/>
                <w:lang w:val="en-GB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3.0 %</w:t>
            </w:r>
          </w:p>
          <w:p w14:paraId="2F37BEA4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短期稳定性(RSD):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2% (30分钟)，长期稳定性(RSD):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3% （4小时）；</w:t>
            </w:r>
          </w:p>
          <w:p w14:paraId="08996BC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>系统背景</w:t>
            </w:r>
          </w:p>
          <w:p w14:paraId="00C86EBD">
            <w:pPr>
              <w:widowControl/>
              <w:spacing w:line="360" w:lineRule="auto"/>
              <w:ind w:firstLine="42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vertAlign w:val="superscript"/>
                <w:lang w:val="en-GB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Be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  <w:t xml:space="preserve"> 1 cps </w:t>
            </w:r>
          </w:p>
          <w:p w14:paraId="38212003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耐高盐进样系统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氧化物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指标：CeO+/Ce+≤ 0.6 %</w:t>
            </w:r>
          </w:p>
          <w:p w14:paraId="69D5D1EA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3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ICP-MS操作软件: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  <w:p w14:paraId="4AE2F6CB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配置与仪器配套的控制软件；</w:t>
            </w:r>
          </w:p>
          <w:p w14:paraId="6580FC6D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配置要求</w:t>
            </w:r>
          </w:p>
          <w:p w14:paraId="0F294543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.1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ICP-MS 主机1台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.2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半导体制冷雾室1套</w:t>
            </w:r>
          </w:p>
          <w:p w14:paraId="2060D750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.3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在线内标混合器1套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在线氩气稀释系统1套</w:t>
            </w:r>
          </w:p>
          <w:p w14:paraId="3E30D940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.5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≥160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位自动进样器1台（含防尘罩）</w:t>
            </w:r>
          </w:p>
          <w:p w14:paraId="730B4723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.6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冷却循环水系统1台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.7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配套专用机械泵1台</w:t>
            </w:r>
          </w:p>
          <w:p w14:paraId="12B4F038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.8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机械泵油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3L</w:t>
            </w:r>
          </w:p>
          <w:p w14:paraId="42705A67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.9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蠕动泵进样管、内标管、废液管各12根，PFA样品管1根，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另配锥体2套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。</w:t>
            </w:r>
          </w:p>
          <w:p w14:paraId="6B48F4E3">
            <w:pPr>
              <w:widowControl/>
              <w:tabs>
                <w:tab w:val="left" w:pos="180"/>
                <w:tab w:val="left" w:pos="525"/>
              </w:tabs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.10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检测器调谐液1瓶（100ml）</w:t>
            </w:r>
          </w:p>
          <w:p w14:paraId="167E65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ja-JP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工作站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 w:eastAsia="ja-JP"/>
              </w:rPr>
              <w:t xml:space="preserve"> 1套；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 w:eastAsia="ja-JP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 w:eastAsia="ja-JP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 w:eastAsia="ja-JP"/>
              </w:rPr>
              <w:t>ICP-MS 操作软件1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GB"/>
              </w:rPr>
              <w:t>套，光盘1张（含理论知识和操作维护视频等）</w:t>
            </w:r>
          </w:p>
          <w:p w14:paraId="09F7F287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氦气钢瓶及减压阀1套</w:t>
            </w:r>
          </w:p>
          <w:p w14:paraId="0C9A2DA4">
            <w:pPr>
              <w:widowControl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.1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超纯水机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val="en-US" w:eastAsia="zh-CN"/>
              </w:rPr>
              <w:t>电阻率≥18.2MΩ，产水量≥18L/h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0"/>
              </w:rPr>
              <w:t>1台。</w:t>
            </w:r>
          </w:p>
        </w:tc>
      </w:tr>
    </w:tbl>
    <w:p w14:paraId="2CC2BC98">
      <w:pPr>
        <w:spacing w:line="360" w:lineRule="auto"/>
        <w:rPr>
          <w:rFonts w:hint="eastAsia"/>
          <w:color w:val="FF0000"/>
          <w:highlight w:val="none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B4D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95CF6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95CF6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CA60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78CAE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78CAE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33B1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4DD2FF"/>
    <w:multiLevelType w:val="singleLevel"/>
    <w:tmpl w:val="D84DD2FF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E5582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5D1C"/>
    <w:rsid w:val="002474B6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4425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D17E8"/>
    <w:rsid w:val="005D2281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73B"/>
    <w:rsid w:val="00682C78"/>
    <w:rsid w:val="006834D4"/>
    <w:rsid w:val="006838BA"/>
    <w:rsid w:val="00685EE4"/>
    <w:rsid w:val="006864EA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1B4775"/>
    <w:rsid w:val="02BA0F2C"/>
    <w:rsid w:val="037979A5"/>
    <w:rsid w:val="03CB3F9B"/>
    <w:rsid w:val="03D42F29"/>
    <w:rsid w:val="03E47515"/>
    <w:rsid w:val="045521C0"/>
    <w:rsid w:val="049814E0"/>
    <w:rsid w:val="053B0618"/>
    <w:rsid w:val="05672E13"/>
    <w:rsid w:val="057C19CF"/>
    <w:rsid w:val="05B52156"/>
    <w:rsid w:val="05DB7E97"/>
    <w:rsid w:val="06836769"/>
    <w:rsid w:val="06EA0626"/>
    <w:rsid w:val="06ED06D9"/>
    <w:rsid w:val="088A7F5F"/>
    <w:rsid w:val="089A4646"/>
    <w:rsid w:val="08A95854"/>
    <w:rsid w:val="08BD7FAD"/>
    <w:rsid w:val="08CF6958"/>
    <w:rsid w:val="090827CD"/>
    <w:rsid w:val="09D81E8C"/>
    <w:rsid w:val="0A0F696E"/>
    <w:rsid w:val="0A1102E2"/>
    <w:rsid w:val="0A480B9C"/>
    <w:rsid w:val="0B4524FB"/>
    <w:rsid w:val="0BE5112D"/>
    <w:rsid w:val="0BF57DE5"/>
    <w:rsid w:val="0C470F50"/>
    <w:rsid w:val="0C5E57C4"/>
    <w:rsid w:val="0C676F35"/>
    <w:rsid w:val="0D354400"/>
    <w:rsid w:val="0D742563"/>
    <w:rsid w:val="0DDE4FD5"/>
    <w:rsid w:val="0E3A4297"/>
    <w:rsid w:val="0E527771"/>
    <w:rsid w:val="0E963B01"/>
    <w:rsid w:val="0EA855E3"/>
    <w:rsid w:val="0EB06D04"/>
    <w:rsid w:val="0EE77A81"/>
    <w:rsid w:val="0F220B1B"/>
    <w:rsid w:val="0F2664F6"/>
    <w:rsid w:val="0F277E39"/>
    <w:rsid w:val="0FE268D2"/>
    <w:rsid w:val="103510F8"/>
    <w:rsid w:val="10686DD7"/>
    <w:rsid w:val="107365F0"/>
    <w:rsid w:val="107B2A34"/>
    <w:rsid w:val="1109680C"/>
    <w:rsid w:val="11296A34"/>
    <w:rsid w:val="117774DD"/>
    <w:rsid w:val="11D16BFE"/>
    <w:rsid w:val="12151156"/>
    <w:rsid w:val="12371157"/>
    <w:rsid w:val="128F4AEF"/>
    <w:rsid w:val="1293615E"/>
    <w:rsid w:val="137D5290"/>
    <w:rsid w:val="13983E78"/>
    <w:rsid w:val="143815AA"/>
    <w:rsid w:val="14401B9A"/>
    <w:rsid w:val="14E45A3A"/>
    <w:rsid w:val="14E86739"/>
    <w:rsid w:val="14F00C9E"/>
    <w:rsid w:val="151A4A2D"/>
    <w:rsid w:val="159B7C4F"/>
    <w:rsid w:val="15BD5E17"/>
    <w:rsid w:val="160C46A9"/>
    <w:rsid w:val="165A3666"/>
    <w:rsid w:val="174707F2"/>
    <w:rsid w:val="1773377D"/>
    <w:rsid w:val="18DE360D"/>
    <w:rsid w:val="19807C1E"/>
    <w:rsid w:val="19AF1F1B"/>
    <w:rsid w:val="1A676352"/>
    <w:rsid w:val="1B1B78AF"/>
    <w:rsid w:val="1B776A68"/>
    <w:rsid w:val="1BCB46BE"/>
    <w:rsid w:val="1C0C42AF"/>
    <w:rsid w:val="1C2370E7"/>
    <w:rsid w:val="1C9D605B"/>
    <w:rsid w:val="1CD6156D"/>
    <w:rsid w:val="1DD27F86"/>
    <w:rsid w:val="1F2B35EE"/>
    <w:rsid w:val="20250841"/>
    <w:rsid w:val="212E7BC9"/>
    <w:rsid w:val="21FA7AAB"/>
    <w:rsid w:val="22566075"/>
    <w:rsid w:val="2291000C"/>
    <w:rsid w:val="22E63BAE"/>
    <w:rsid w:val="23737B15"/>
    <w:rsid w:val="25140F7F"/>
    <w:rsid w:val="25761B3F"/>
    <w:rsid w:val="272C6959"/>
    <w:rsid w:val="276460F3"/>
    <w:rsid w:val="27BB03A7"/>
    <w:rsid w:val="27F616E4"/>
    <w:rsid w:val="28EF7C3E"/>
    <w:rsid w:val="29114058"/>
    <w:rsid w:val="29224275"/>
    <w:rsid w:val="29657F00"/>
    <w:rsid w:val="296A1CA7"/>
    <w:rsid w:val="29D4444C"/>
    <w:rsid w:val="29D924F1"/>
    <w:rsid w:val="29F01EC0"/>
    <w:rsid w:val="2A1536D4"/>
    <w:rsid w:val="2B3B53BD"/>
    <w:rsid w:val="2BB60EE7"/>
    <w:rsid w:val="2BE32FF5"/>
    <w:rsid w:val="2BEC6A86"/>
    <w:rsid w:val="2C932FD6"/>
    <w:rsid w:val="2CBC6D61"/>
    <w:rsid w:val="2D4542D1"/>
    <w:rsid w:val="2DE7410E"/>
    <w:rsid w:val="2EBC4560"/>
    <w:rsid w:val="2F372E8E"/>
    <w:rsid w:val="2F792957"/>
    <w:rsid w:val="2F9C6646"/>
    <w:rsid w:val="2FEA7A4C"/>
    <w:rsid w:val="30AB223A"/>
    <w:rsid w:val="30BA4FD6"/>
    <w:rsid w:val="31104BF6"/>
    <w:rsid w:val="31523460"/>
    <w:rsid w:val="31684A32"/>
    <w:rsid w:val="31DB583A"/>
    <w:rsid w:val="33370B5F"/>
    <w:rsid w:val="333C43C8"/>
    <w:rsid w:val="33941B0E"/>
    <w:rsid w:val="34140EA1"/>
    <w:rsid w:val="35154ED0"/>
    <w:rsid w:val="353A4937"/>
    <w:rsid w:val="35D5640E"/>
    <w:rsid w:val="361D67FF"/>
    <w:rsid w:val="36FD6C55"/>
    <w:rsid w:val="37621F23"/>
    <w:rsid w:val="37BF6F64"/>
    <w:rsid w:val="37D42E21"/>
    <w:rsid w:val="3836588A"/>
    <w:rsid w:val="38606463"/>
    <w:rsid w:val="38B14F10"/>
    <w:rsid w:val="38C74734"/>
    <w:rsid w:val="393C6ED0"/>
    <w:rsid w:val="39B5458C"/>
    <w:rsid w:val="3A934624"/>
    <w:rsid w:val="3AAF3FCD"/>
    <w:rsid w:val="3ACF72AE"/>
    <w:rsid w:val="3B190B4B"/>
    <w:rsid w:val="3B6E0E96"/>
    <w:rsid w:val="3B844B5E"/>
    <w:rsid w:val="3BCD18ED"/>
    <w:rsid w:val="3CB71834"/>
    <w:rsid w:val="3D8240D2"/>
    <w:rsid w:val="3EC05EAD"/>
    <w:rsid w:val="3F367F1D"/>
    <w:rsid w:val="3F674CB6"/>
    <w:rsid w:val="3FCC6AD3"/>
    <w:rsid w:val="41200E85"/>
    <w:rsid w:val="41432DC5"/>
    <w:rsid w:val="41E974C9"/>
    <w:rsid w:val="42162288"/>
    <w:rsid w:val="437600FE"/>
    <w:rsid w:val="43A538C3"/>
    <w:rsid w:val="443864E5"/>
    <w:rsid w:val="44B0237A"/>
    <w:rsid w:val="44CB1108"/>
    <w:rsid w:val="4538077D"/>
    <w:rsid w:val="4556401B"/>
    <w:rsid w:val="468C14EB"/>
    <w:rsid w:val="46E1485D"/>
    <w:rsid w:val="46E22739"/>
    <w:rsid w:val="46F33CD1"/>
    <w:rsid w:val="47590C4D"/>
    <w:rsid w:val="47743CD8"/>
    <w:rsid w:val="47A94056"/>
    <w:rsid w:val="480F1C53"/>
    <w:rsid w:val="482E032B"/>
    <w:rsid w:val="485D3817"/>
    <w:rsid w:val="486C0E54"/>
    <w:rsid w:val="487216E8"/>
    <w:rsid w:val="492F0B49"/>
    <w:rsid w:val="4A3414FD"/>
    <w:rsid w:val="4AD44F71"/>
    <w:rsid w:val="4AE03433"/>
    <w:rsid w:val="4B685203"/>
    <w:rsid w:val="4D0C49B3"/>
    <w:rsid w:val="4D703FFF"/>
    <w:rsid w:val="4E6D3574"/>
    <w:rsid w:val="4E8011B5"/>
    <w:rsid w:val="4F0771E0"/>
    <w:rsid w:val="4F2F3FA1"/>
    <w:rsid w:val="4F624D5E"/>
    <w:rsid w:val="4F674123"/>
    <w:rsid w:val="4FF82FCD"/>
    <w:rsid w:val="50146059"/>
    <w:rsid w:val="50441F68"/>
    <w:rsid w:val="50746AF7"/>
    <w:rsid w:val="51022355"/>
    <w:rsid w:val="51112598"/>
    <w:rsid w:val="51750D79"/>
    <w:rsid w:val="51F53C68"/>
    <w:rsid w:val="53C05F5A"/>
    <w:rsid w:val="541008E5"/>
    <w:rsid w:val="54216F96"/>
    <w:rsid w:val="5471046A"/>
    <w:rsid w:val="54FC355F"/>
    <w:rsid w:val="55597ADB"/>
    <w:rsid w:val="56625644"/>
    <w:rsid w:val="570E431B"/>
    <w:rsid w:val="573009E7"/>
    <w:rsid w:val="573174F0"/>
    <w:rsid w:val="57AE6D93"/>
    <w:rsid w:val="57DB161B"/>
    <w:rsid w:val="582B090E"/>
    <w:rsid w:val="584512B8"/>
    <w:rsid w:val="58D345D7"/>
    <w:rsid w:val="59A0095D"/>
    <w:rsid w:val="59B166C6"/>
    <w:rsid w:val="59D23552"/>
    <w:rsid w:val="5A7D47FA"/>
    <w:rsid w:val="5AB87F28"/>
    <w:rsid w:val="5B61191C"/>
    <w:rsid w:val="5B750AF9"/>
    <w:rsid w:val="5B9462A0"/>
    <w:rsid w:val="5C2C472A"/>
    <w:rsid w:val="5C6043D4"/>
    <w:rsid w:val="5C841E70"/>
    <w:rsid w:val="5CAB1AF3"/>
    <w:rsid w:val="5E1C691D"/>
    <w:rsid w:val="5E5D6E1D"/>
    <w:rsid w:val="5F816B3B"/>
    <w:rsid w:val="600608C4"/>
    <w:rsid w:val="60067040"/>
    <w:rsid w:val="604D0DD3"/>
    <w:rsid w:val="607945BC"/>
    <w:rsid w:val="60844B35"/>
    <w:rsid w:val="609B3C2C"/>
    <w:rsid w:val="617050B9"/>
    <w:rsid w:val="61D145ED"/>
    <w:rsid w:val="61D20F2B"/>
    <w:rsid w:val="62137B25"/>
    <w:rsid w:val="627110E9"/>
    <w:rsid w:val="628C5F22"/>
    <w:rsid w:val="6292739D"/>
    <w:rsid w:val="62D376AD"/>
    <w:rsid w:val="62E03578"/>
    <w:rsid w:val="63414F5F"/>
    <w:rsid w:val="637160AB"/>
    <w:rsid w:val="63BC6393"/>
    <w:rsid w:val="64882719"/>
    <w:rsid w:val="65BC6B1F"/>
    <w:rsid w:val="65E44D4C"/>
    <w:rsid w:val="65F067C8"/>
    <w:rsid w:val="65F76563"/>
    <w:rsid w:val="66291CDA"/>
    <w:rsid w:val="668D6ECC"/>
    <w:rsid w:val="66A355E9"/>
    <w:rsid w:val="675B4B07"/>
    <w:rsid w:val="677376B1"/>
    <w:rsid w:val="679B2764"/>
    <w:rsid w:val="691722BE"/>
    <w:rsid w:val="69BC750D"/>
    <w:rsid w:val="69E7708D"/>
    <w:rsid w:val="6A415844"/>
    <w:rsid w:val="6B3929BF"/>
    <w:rsid w:val="6C9F2CF6"/>
    <w:rsid w:val="6E006A52"/>
    <w:rsid w:val="6EA939B8"/>
    <w:rsid w:val="6F5F177E"/>
    <w:rsid w:val="6F865AA7"/>
    <w:rsid w:val="6FD97A1B"/>
    <w:rsid w:val="6FE32EFA"/>
    <w:rsid w:val="709E186B"/>
    <w:rsid w:val="70A1703D"/>
    <w:rsid w:val="70AF61D1"/>
    <w:rsid w:val="70CB21E7"/>
    <w:rsid w:val="70FA499F"/>
    <w:rsid w:val="714479C8"/>
    <w:rsid w:val="714D7E5F"/>
    <w:rsid w:val="716F713B"/>
    <w:rsid w:val="71D2534C"/>
    <w:rsid w:val="72DD6326"/>
    <w:rsid w:val="732E23F9"/>
    <w:rsid w:val="746D19CA"/>
    <w:rsid w:val="74D10EC7"/>
    <w:rsid w:val="757E170D"/>
    <w:rsid w:val="75970A0E"/>
    <w:rsid w:val="75DE3F93"/>
    <w:rsid w:val="76236746"/>
    <w:rsid w:val="76317F9B"/>
    <w:rsid w:val="76375D4D"/>
    <w:rsid w:val="76B86E8E"/>
    <w:rsid w:val="76EF1997"/>
    <w:rsid w:val="76FD6F97"/>
    <w:rsid w:val="770D4C48"/>
    <w:rsid w:val="77534E09"/>
    <w:rsid w:val="77F43101"/>
    <w:rsid w:val="78085BF3"/>
    <w:rsid w:val="7856695F"/>
    <w:rsid w:val="79314CD6"/>
    <w:rsid w:val="794C38BE"/>
    <w:rsid w:val="79996046"/>
    <w:rsid w:val="7AEA5A84"/>
    <w:rsid w:val="7B256ABC"/>
    <w:rsid w:val="7B79577B"/>
    <w:rsid w:val="7CE56BFB"/>
    <w:rsid w:val="7CFE1373"/>
    <w:rsid w:val="7D80447E"/>
    <w:rsid w:val="7E0A649D"/>
    <w:rsid w:val="7EF97CE5"/>
    <w:rsid w:val="7F2D4191"/>
    <w:rsid w:val="7FA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4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  <w:lang w:val="zh-CN" w:eastAsia="zh-CN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 w:eastAsia="zh-CN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8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6">
    <w:name w:val="页脚 字符1"/>
    <w:link w:val="6"/>
    <w:qFormat/>
    <w:uiPriority w:val="0"/>
    <w:rPr>
      <w:sz w:val="18"/>
      <w:szCs w:val="18"/>
    </w:rPr>
  </w:style>
  <w:style w:type="paragraph" w:customStyle="1" w:styleId="17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9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20">
    <w:name w:val="页脚 字符"/>
    <w:qFormat/>
    <w:uiPriority w:val="99"/>
    <w:rPr>
      <w:sz w:val="18"/>
      <w:szCs w:val="18"/>
    </w:rPr>
  </w:style>
  <w:style w:type="paragraph" w:customStyle="1" w:styleId="21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8</Pages>
  <Words>3353</Words>
  <Characters>3758</Characters>
  <Lines>5</Lines>
  <Paragraphs>1</Paragraphs>
  <TotalTime>1</TotalTime>
  <ScaleCrop>false</ScaleCrop>
  <LinksUpToDate>false</LinksUpToDate>
  <CharactersWithSpaces>3832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2022-03-09T09:39:00Z</dcterms:created>
  <dc:creator>wangsong</dc:creator>
  <cp:lastModifiedBy>lenovo</cp:lastModifiedBy>
  <cp:lastPrinted>2019-06-19T06:00:00Z</cp:lastPrinted>
  <dcterms:modified xsi:type="dcterms:W3CDTF">2026-07-31T03:34:16Z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9EC658B2B3EE4B8F9483BAE456CCEAA2_13</vt:lpwstr>
  </property>
  <property fmtid="{D5CDD505-2E9C-101B-9397-08002B2CF9AE}" pid="4" name="KSOTemplateDocerSaveRecord">
    <vt:lpwstr>eyJoZGlkIjoiZTZiYWFkODJjYjQ5YjQxZGZhZGNkOTgwZGM0ZmY2ZTUiLCJ1c2VySWQiOiI5MDk3ODE1NTEifQ==</vt:lpwstr>
  </property>
</Properties>
</file>