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754AA">
      <w:pPr>
        <w:widowControl w:val="0"/>
        <w:overflowPunct w:val="0"/>
        <w:spacing w:line="360" w:lineRule="auto"/>
        <w:jc w:val="center"/>
        <w:rPr>
          <w:rFonts w:ascii="宋体" w:hAnsi="宋体" w:eastAsia="宋体" w:cs="宋体"/>
          <w:b/>
          <w:bCs/>
          <w:spacing w:val="20"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pacing w:val="20"/>
          <w:sz w:val="40"/>
          <w:szCs w:val="40"/>
        </w:rPr>
        <w:t>山东师范大学招标采购项目需求公示表</w:t>
      </w:r>
    </w:p>
    <w:p w14:paraId="6037C59D">
      <w:pPr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编号:SDSL-2026-159</w:t>
      </w:r>
    </w:p>
    <w:tbl>
      <w:tblPr>
        <w:tblStyle w:val="9"/>
        <w:tblW w:w="13812" w:type="dxa"/>
        <w:tblInd w:w="-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61"/>
        <w:gridCol w:w="2584"/>
        <w:gridCol w:w="1119"/>
        <w:gridCol w:w="1827"/>
        <w:gridCol w:w="2126"/>
        <w:gridCol w:w="2605"/>
        <w:gridCol w:w="2790"/>
      </w:tblGrid>
      <w:tr w14:paraId="11FC8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13812" w:type="dxa"/>
            <w:gridSpan w:val="7"/>
            <w:shd w:val="clear" w:color="auto" w:fill="FFFFFF"/>
            <w:vAlign w:val="center"/>
          </w:tcPr>
          <w:p w14:paraId="56A4F94B">
            <w:pPr>
              <w:pStyle w:val="21"/>
              <w:spacing w:line="360" w:lineRule="exact"/>
              <w:ind w:firstLine="0"/>
              <w:jc w:val="center"/>
              <w:textAlignment w:val="center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</w:rPr>
              <w:t>基本情况</w:t>
            </w:r>
          </w:p>
        </w:tc>
      </w:tr>
      <w:tr w14:paraId="76823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1F43C8ED">
            <w:pPr>
              <w:pStyle w:val="22"/>
              <w:spacing w:line="360" w:lineRule="exact"/>
              <w:ind w:firstLine="0"/>
              <w:textAlignment w:val="center"/>
              <w:rPr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067FF90E">
            <w:pPr>
              <w:pStyle w:val="22"/>
              <w:overflowPunct w:val="0"/>
              <w:spacing w:line="400" w:lineRule="exact"/>
              <w:ind w:firstLine="0"/>
              <w:jc w:val="both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bCs/>
                <w:color w:val="auto"/>
                <w:sz w:val="24"/>
                <w:lang w:eastAsia="zh-CN"/>
              </w:rPr>
              <w:t>山东师范大学2026年化学院电感耦合等离子体质谱仪采购项目</w:t>
            </w:r>
          </w:p>
        </w:tc>
      </w:tr>
      <w:tr w14:paraId="332EE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7B7C411D">
            <w:pPr>
              <w:pStyle w:val="22"/>
              <w:spacing w:line="360" w:lineRule="exact"/>
              <w:ind w:firstLine="0"/>
              <w:textAlignment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</w:rPr>
              <w:t>项目主管单位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68DAF67C">
            <w:pPr>
              <w:pStyle w:val="22"/>
              <w:overflowPunct w:val="0"/>
              <w:spacing w:line="400" w:lineRule="exact"/>
              <w:ind w:firstLine="0"/>
              <w:jc w:val="both"/>
              <w:rPr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化学化工与材料科学学院</w:t>
            </w:r>
          </w:p>
        </w:tc>
      </w:tr>
      <w:tr w14:paraId="67AAB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28F20A0C">
            <w:pPr>
              <w:pStyle w:val="22"/>
              <w:spacing w:line="360" w:lineRule="exact"/>
              <w:ind w:firstLine="0"/>
              <w:textAlignment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</w:rPr>
              <w:t>第三方咨询服务单位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68783C35">
            <w:pPr>
              <w:pStyle w:val="22"/>
              <w:overflowPunct w:val="0"/>
              <w:spacing w:line="400" w:lineRule="exact"/>
              <w:ind w:firstLine="0"/>
              <w:jc w:val="both"/>
              <w:rPr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</w:rPr>
              <w:t>山东善立招标有限公司</w:t>
            </w:r>
          </w:p>
        </w:tc>
      </w:tr>
      <w:tr w14:paraId="2F455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13812" w:type="dxa"/>
            <w:gridSpan w:val="7"/>
            <w:shd w:val="clear" w:color="auto" w:fill="FFFFFF"/>
            <w:vAlign w:val="center"/>
          </w:tcPr>
          <w:p w14:paraId="1A9DB56A">
            <w:pPr>
              <w:pStyle w:val="22"/>
              <w:spacing w:line="360" w:lineRule="exact"/>
              <w:ind w:firstLine="0"/>
              <w:jc w:val="center"/>
              <w:textAlignment w:val="center"/>
              <w:rPr>
                <w:color w:val="auto"/>
                <w:sz w:val="24"/>
                <w:szCs w:val="24"/>
                <w:lang w:val="en-US" w:bidi="en-US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</w:rPr>
              <w:t>项目信息</w:t>
            </w:r>
          </w:p>
        </w:tc>
      </w:tr>
      <w:tr w14:paraId="7CB10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761" w:type="dxa"/>
            <w:shd w:val="clear" w:color="auto" w:fill="FFFFFF"/>
            <w:vAlign w:val="center"/>
          </w:tcPr>
          <w:p w14:paraId="12ED2A4C">
            <w:pPr>
              <w:pStyle w:val="21"/>
              <w:spacing w:line="360" w:lineRule="exact"/>
              <w:ind w:firstLine="0"/>
              <w:jc w:val="center"/>
              <w:textAlignment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</w:rPr>
              <w:t>包号</w:t>
            </w:r>
          </w:p>
        </w:tc>
        <w:tc>
          <w:tcPr>
            <w:tcW w:w="2584" w:type="dxa"/>
            <w:shd w:val="clear" w:color="auto" w:fill="FFFFFF"/>
            <w:vAlign w:val="center"/>
          </w:tcPr>
          <w:p w14:paraId="2F7C6F31">
            <w:pPr>
              <w:pStyle w:val="21"/>
              <w:spacing w:line="360" w:lineRule="exact"/>
              <w:ind w:firstLine="0"/>
              <w:jc w:val="center"/>
              <w:textAlignment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</w:rPr>
              <w:t>标的名称</w:t>
            </w:r>
          </w:p>
        </w:tc>
        <w:tc>
          <w:tcPr>
            <w:tcW w:w="1119" w:type="dxa"/>
            <w:shd w:val="clear" w:color="auto" w:fill="FFFFFF"/>
            <w:vAlign w:val="center"/>
          </w:tcPr>
          <w:p w14:paraId="53C26C83">
            <w:pPr>
              <w:pStyle w:val="21"/>
              <w:spacing w:line="360" w:lineRule="exact"/>
              <w:ind w:firstLine="0"/>
              <w:jc w:val="center"/>
              <w:textAlignment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827" w:type="dxa"/>
            <w:shd w:val="clear" w:color="auto" w:fill="FFFFFF"/>
            <w:vAlign w:val="center"/>
          </w:tcPr>
          <w:p w14:paraId="64C9C2E4">
            <w:pPr>
              <w:pStyle w:val="21"/>
              <w:spacing w:line="360" w:lineRule="exact"/>
              <w:ind w:firstLine="0"/>
              <w:jc w:val="center"/>
              <w:textAlignment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</w:rPr>
              <w:t>是否</w:t>
            </w:r>
            <w:r>
              <w:rPr>
                <w:rFonts w:hint="eastAsia"/>
                <w:b/>
                <w:bCs/>
                <w:color w:val="auto"/>
                <w:sz w:val="24"/>
                <w:szCs w:val="24"/>
                <w:lang w:val="en-US" w:eastAsia="zh-CN"/>
              </w:rPr>
              <w:t>允许</w:t>
            </w:r>
            <w:r>
              <w:rPr>
                <w:rFonts w:hint="eastAsia"/>
                <w:b/>
                <w:bCs/>
                <w:color w:val="auto"/>
                <w:sz w:val="24"/>
                <w:szCs w:val="24"/>
              </w:rPr>
              <w:t>进口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B4694D9">
            <w:pPr>
              <w:pStyle w:val="21"/>
              <w:spacing w:line="360" w:lineRule="exact"/>
              <w:ind w:firstLine="0"/>
              <w:jc w:val="center"/>
              <w:textAlignment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</w:rPr>
              <w:t>是否创新产品</w:t>
            </w:r>
          </w:p>
        </w:tc>
        <w:tc>
          <w:tcPr>
            <w:tcW w:w="2605" w:type="dxa"/>
            <w:shd w:val="clear" w:color="auto" w:fill="FFFFFF"/>
            <w:vAlign w:val="center"/>
          </w:tcPr>
          <w:p w14:paraId="4DC91183">
            <w:pPr>
              <w:pStyle w:val="21"/>
              <w:spacing w:line="360" w:lineRule="exact"/>
              <w:ind w:firstLine="0"/>
              <w:jc w:val="center"/>
              <w:textAlignment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</w:rPr>
              <w:t>是否专门面向中小微或预留份额</w:t>
            </w:r>
          </w:p>
        </w:tc>
        <w:tc>
          <w:tcPr>
            <w:tcW w:w="2790" w:type="dxa"/>
            <w:shd w:val="clear" w:color="auto" w:fill="FFFFFF"/>
            <w:vAlign w:val="center"/>
          </w:tcPr>
          <w:p w14:paraId="35B1AFC6">
            <w:pPr>
              <w:pStyle w:val="21"/>
              <w:spacing w:line="360" w:lineRule="exact"/>
              <w:ind w:firstLine="0"/>
              <w:jc w:val="center"/>
              <w:textAlignment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  <w:szCs w:val="24"/>
              </w:rPr>
              <w:t>预算金额（最高限价）</w:t>
            </w:r>
          </w:p>
        </w:tc>
      </w:tr>
      <w:tr w14:paraId="31939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5" w:hRule="atLeast"/>
        </w:trPr>
        <w:tc>
          <w:tcPr>
            <w:tcW w:w="761" w:type="dxa"/>
            <w:shd w:val="clear" w:color="auto" w:fill="FFFFFF"/>
            <w:vAlign w:val="center"/>
          </w:tcPr>
          <w:p w14:paraId="2EB18A87">
            <w:pPr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2584" w:type="dxa"/>
            <w:shd w:val="clear" w:color="auto" w:fill="FFFFFF"/>
            <w:vAlign w:val="center"/>
          </w:tcPr>
          <w:p w14:paraId="6C1C29B1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电感耦合等离子体质谱仪</w:t>
            </w:r>
          </w:p>
        </w:tc>
        <w:tc>
          <w:tcPr>
            <w:tcW w:w="1119" w:type="dxa"/>
            <w:shd w:val="clear" w:color="auto" w:fill="FFFFFF"/>
            <w:vAlign w:val="center"/>
          </w:tcPr>
          <w:p w14:paraId="0F78648A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1套</w:t>
            </w:r>
          </w:p>
        </w:tc>
        <w:tc>
          <w:tcPr>
            <w:tcW w:w="1827" w:type="dxa"/>
            <w:shd w:val="clear" w:color="auto" w:fill="FFFFFF"/>
            <w:vAlign w:val="center"/>
          </w:tcPr>
          <w:p w14:paraId="18B5B1B7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否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D6F7A12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否</w:t>
            </w:r>
          </w:p>
        </w:tc>
        <w:tc>
          <w:tcPr>
            <w:tcW w:w="2605" w:type="dxa"/>
            <w:shd w:val="clear" w:color="auto" w:fill="FFFFFF"/>
            <w:vAlign w:val="center"/>
          </w:tcPr>
          <w:p w14:paraId="08AACE0C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否</w:t>
            </w:r>
          </w:p>
        </w:tc>
        <w:tc>
          <w:tcPr>
            <w:tcW w:w="2790" w:type="dxa"/>
            <w:shd w:val="clear" w:color="auto" w:fill="FFFFFF"/>
            <w:vAlign w:val="center"/>
          </w:tcPr>
          <w:p w14:paraId="1BAF5D1B">
            <w:pPr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119.00万元</w:t>
            </w:r>
          </w:p>
        </w:tc>
      </w:tr>
      <w:tr w14:paraId="62F57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13812" w:type="dxa"/>
            <w:gridSpan w:val="7"/>
            <w:shd w:val="clear" w:color="auto" w:fill="FFFFFF"/>
            <w:vAlign w:val="center"/>
          </w:tcPr>
          <w:p w14:paraId="06360F4C">
            <w:pPr>
              <w:spacing w:line="360" w:lineRule="exac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zh-TW" w:eastAsia="zh-TW" w:bidi="zh-TW"/>
              </w:rPr>
              <w:t>需求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zh-TW" w:bidi="zh-TW"/>
              </w:rPr>
              <w:t>描述</w:t>
            </w:r>
          </w:p>
        </w:tc>
      </w:tr>
      <w:tr w14:paraId="1DF91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8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7EB41733">
            <w:pPr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技术要求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5DEAEE0C">
            <w:pPr>
              <w:pStyle w:val="4"/>
              <w:spacing w:line="360" w:lineRule="auto"/>
              <w:ind w:left="0" w:leftChars="0"/>
              <w:rPr>
                <w:rFonts w:ascii="宋体" w:hAnsi="宋体" w:eastAsia="宋体" w:cs="宋体"/>
                <w:b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zh-CN"/>
              </w:rPr>
              <w:t>一、项目概况</w:t>
            </w:r>
          </w:p>
          <w:p w14:paraId="18BB1934">
            <w:pPr>
              <w:spacing w:line="360" w:lineRule="auto"/>
              <w:rPr>
                <w:rFonts w:ascii="宋体" w:hAnsi="宋体" w:eastAsia="宋体" w:cs="宋体"/>
                <w:i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iCs/>
                <w:sz w:val="24"/>
                <w:szCs w:val="24"/>
                <w:lang w:val="zh-CN"/>
              </w:rPr>
              <w:t>本项目为山东师范大学2026年化学院电感耦合等离子体质谱仪采购项目，</w:t>
            </w:r>
            <w:r>
              <w:rPr>
                <w:rFonts w:hint="eastAsia" w:ascii="宋体" w:hAnsi="宋体" w:eastAsia="宋体" w:cs="宋体"/>
                <w:iCs/>
                <w:sz w:val="24"/>
                <w:szCs w:val="24"/>
              </w:rPr>
              <w:t>总</w:t>
            </w:r>
            <w:r>
              <w:rPr>
                <w:rFonts w:hint="eastAsia" w:ascii="宋体" w:hAnsi="宋体" w:eastAsia="宋体" w:cs="宋体"/>
                <w:iCs/>
                <w:sz w:val="24"/>
                <w:szCs w:val="24"/>
                <w:lang w:val="zh-CN"/>
              </w:rPr>
              <w:t>预算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119.00万元</w:t>
            </w:r>
            <w:r>
              <w:rPr>
                <w:rFonts w:hint="eastAsia" w:ascii="宋体" w:hAnsi="宋体" w:eastAsia="宋体" w:cs="宋体"/>
                <w:iCs/>
                <w:sz w:val="24"/>
                <w:szCs w:val="24"/>
                <w:lang w:val="zh-CN"/>
              </w:rPr>
              <w:t>。</w:t>
            </w:r>
          </w:p>
          <w:p w14:paraId="5CC2A75F">
            <w:pPr>
              <w:spacing w:line="360" w:lineRule="auto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zh-CN"/>
              </w:rPr>
              <w:t>二、技术要求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</w:t>
            </w:r>
          </w:p>
          <w:p w14:paraId="329BCC4B"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详见附件：详细技术要求。</w:t>
            </w:r>
          </w:p>
        </w:tc>
      </w:tr>
      <w:tr w14:paraId="6A3CF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782D3292">
            <w:pPr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商务要求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78FA0FF5">
            <w:pPr>
              <w:numPr>
                <w:ilvl w:val="0"/>
                <w:numId w:val="1"/>
              </w:num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交货期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：</w:t>
            </w:r>
          </w:p>
          <w:p w14:paraId="2C433333"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国产设备自合同签订之日起30天内供货安装调试完毕；</w:t>
            </w:r>
          </w:p>
          <w:p w14:paraId="290FF57C">
            <w:pPr>
              <w:numPr>
                <w:ilvl w:val="0"/>
                <w:numId w:val="1"/>
              </w:numPr>
              <w:spacing w:line="360" w:lineRule="auto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交付地点：</w:t>
            </w:r>
          </w:p>
          <w:p w14:paraId="6449543C"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设备全部到达山东师范大学校内指定地点。</w:t>
            </w:r>
          </w:p>
          <w:p w14:paraId="6C3178DB">
            <w:pPr>
              <w:spacing w:line="360" w:lineRule="auto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3、付款条件：</w:t>
            </w:r>
          </w:p>
          <w:p w14:paraId="40F65B73"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国产设备：中标人供货并安装调试完成，使用单位初步验收合格后支付合同价款的60%；经招标人验收合格后，招标人支付至合同价款的100%。</w:t>
            </w:r>
          </w:p>
          <w:p w14:paraId="3BA56ECA"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4、验收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：</w:t>
            </w:r>
          </w:p>
          <w:p w14:paraId="54980317"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招标人根据《山东省政府采购履约验收管理办法》及招标人要求进行验收。</w:t>
            </w:r>
          </w:p>
          <w:p w14:paraId="66BB5CAC"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4.1货物运抵现场后，招标人将对货物数量、质量、规格等进行检验。如发现货物和规格或者两者都与招标文件、投标文件、合同不符，招标人有权限根据检验结果要求中标人立即更换或者提出索赔要求。</w:t>
            </w:r>
          </w:p>
          <w:p w14:paraId="3CDF3216"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4.2货物由中标人进行安装，完毕后，招标人应对货物的数量、质量、规格、性能等进行详细而全面的检验。安装完毕7日后，证明货物以及安装质量无任何问题，由招标人组成的验收小组签署验收报告，作为付款凭据之一。</w:t>
            </w:r>
          </w:p>
          <w:p w14:paraId="59915CA5"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5、质保要求</w:t>
            </w:r>
          </w:p>
          <w:p w14:paraId="389BF9F0">
            <w:pPr>
              <w:pStyle w:val="25"/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5.1质保期：整机原厂质保三年，质保期自学校主管部门验收合格之日起计算。（清单技术规格要求中有要求的按照清单要求执行）。国家主管部门或者行业标准对货物本身有更高要求的，从其规定并在合同中约定，投标人亦可提报更长的质保期，质保及售后须注明质保主体（原厂或投标人）。</w:t>
            </w:r>
          </w:p>
          <w:p w14:paraId="52D0376A">
            <w:pPr>
              <w:pStyle w:val="25"/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5.2. 质保期内，因设备自身质量问题导致的故障，所有维修及更换零部件均免费。</w:t>
            </w:r>
          </w:p>
          <w:p w14:paraId="18EAC570">
            <w:pPr>
              <w:pStyle w:val="25"/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5.3. 设备五年内提供免费移机一次，服务内容包含拆装机费、打包辅料费、搬运费等。</w:t>
            </w:r>
          </w:p>
          <w:p w14:paraId="01A50AB2">
            <w:pPr>
              <w:pStyle w:val="25"/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5.4质保期内，责任工程师每年定期回访客户不少于4次，及时为设备进行检查和问诊。根据平台需要，每年不低于2次和平台合作进行设备表征等技术讲座，帮助学院师生更好地了解设备技术。</w:t>
            </w:r>
          </w:p>
          <w:p w14:paraId="3397FA33">
            <w:pPr>
              <w:pStyle w:val="25"/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5.5 质保期内，每年免费提供不低于2次维修保养服务，并免费提供维修所用的全部零部件 。</w:t>
            </w:r>
          </w:p>
          <w:p w14:paraId="68663E75"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5.6质量保证期内，如果证实货物是有缺陷的，包括潜在的缺陷或者使用不符合要求的材料等，中标人应立即免费维修或者更换有缺陷的货物或者部件，保证达到合同规定的技术以及性能要求。如果中标人在收到通知后5天内没有弥补缺陷，招标人可自行采取必要的补救措施，但风险和费用由中标人承担，招标人同时保留通过法律途径进行索赔的权利。</w:t>
            </w:r>
          </w:p>
          <w:p w14:paraId="3577023B">
            <w:pPr>
              <w:numPr>
                <w:ilvl w:val="0"/>
                <w:numId w:val="2"/>
              </w:num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售后服务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：</w:t>
            </w:r>
          </w:p>
          <w:p w14:paraId="319D6CFF"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6.1 售后响应时间：厂家在接到用户故障报修信息后2小时内予以响应，一般问题应在48小时内到达用户现场，排除故障。</w:t>
            </w:r>
          </w:p>
          <w:p w14:paraId="7F6B4B20"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6.3投标人应提供及时周到的售后服务，应保证每季度至少一次上门回访、检修。</w:t>
            </w:r>
          </w:p>
          <w:p w14:paraId="522DF852"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6.4投标人自报维修时间以及备品备件情况。</w:t>
            </w:r>
          </w:p>
          <w:p w14:paraId="489C38A1">
            <w:pPr>
              <w:pStyle w:val="24"/>
              <w:spacing w:line="360" w:lineRule="auto"/>
              <w:ind w:firstLine="0" w:firstLineChars="0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7、培训</w:t>
            </w:r>
          </w:p>
          <w:p w14:paraId="2C356656"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7.1仪器安装调试合格后，需根据采购人要求在用户现场免费对用户使用人员（3-6人）进行为期不少于5天的基本操作与应用培训，对用户进行仪器的基本原理、日常操作、维护和安全常识等技术培训，保证用户能独立进行操作和日常维护。</w:t>
            </w:r>
          </w:p>
          <w:p w14:paraId="17A3AFA9">
            <w:pPr>
              <w:spacing w:line="360" w:lineRule="auto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7.2 质保期内，除安装培训外，每年免费提供不低于6人次的应用技术培训，其中3人次的厂家demo实验室培训（培训费、差旅住宿费均由厂家承担）；每年免费提供3人次及以上的用户现场高阶培训，每次时间不低于4天，具体日期及培训要求与用户协商。</w:t>
            </w:r>
          </w:p>
          <w:p w14:paraId="7D96A5A1">
            <w:pPr>
              <w:pStyle w:val="24"/>
              <w:spacing w:line="360" w:lineRule="auto"/>
              <w:ind w:firstLine="0" w:firstLineChars="0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8、其他要求：</w:t>
            </w:r>
          </w:p>
          <w:p w14:paraId="175D1D62">
            <w:pPr>
              <w:spacing w:line="360" w:lineRule="auto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本项目为交钥匙项目，供应商需在到货前先行勘查用户仪器放置场地，并负责场地湿度/温度/避光/防尘/防震/通风/接地等环境满足仪器安装要求。到货后由中标人技术人员到现场免费进行安装调试，安装过程中所涉及场地内的铝板、水电、通风、防尘、避光等基本改造均由中标人负责，需保证设备在调试及试运行后应达到承诺的技术指标。 </w:t>
            </w:r>
          </w:p>
        </w:tc>
      </w:tr>
      <w:tr w14:paraId="595D8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3EF184A9">
            <w:pPr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政策要求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527B2594">
            <w:pPr>
              <w:pStyle w:val="4"/>
              <w:spacing w:line="360" w:lineRule="auto"/>
              <w:ind w:left="0" w:leftChars="0"/>
              <w:rPr>
                <w:rFonts w:ascii="宋体" w:hAnsi="宋体" w:eastAsia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  <w:t>严格落实财政部、工业和信息化部《政府采购促进中小企业发展管理办法》（财库〔2020〕46号）、《财政部 司法部关于政府采购支持监狱企业发展有关问题的通知》（财库〔2014〕68号）、《关于促进残疾人就业政府采购政策的通知》（财库[2017]141号）、</w:t>
            </w:r>
            <w:r>
              <w:rPr>
                <w:rFonts w:hint="eastAsia" w:ascii="宋体" w:hAnsi="宋体" w:eastAsia="宋体" w:cs="宋体"/>
                <w:iCs/>
                <w:sz w:val="24"/>
                <w:lang w:val="zh-CN"/>
              </w:rPr>
              <w:t>《关于进一步发挥政府采购政策功能支持中小企业发展的通知》、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  <w:t>《关于进一步发挥政府采购政策功能支持中小企业发展的通知》、《关于调整优化节能产品、环境标志产品政府采购执行机制的通知》、《关于印发节能产品政府采购品目清单的通知》、《关于印发环境标志产品政府采购品目清单的通知》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本国产品政策、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  <w:t>采购绿色建材、推广节能建筑等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国家最新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CN"/>
              </w:rPr>
              <w:t>政府采购政策。</w:t>
            </w:r>
          </w:p>
        </w:tc>
      </w:tr>
      <w:tr w14:paraId="672A6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73C2EEA4">
            <w:pPr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绩效目标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1849ED89">
            <w:pPr>
              <w:pStyle w:val="4"/>
              <w:spacing w:line="360" w:lineRule="auto"/>
              <w:ind w:left="0" w:leftChars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面向校内化学、材料、环境、生物等学科及校外高校、科研院所开放共享；每年培训独立操作人员≥10人次，支撑高水平论文发表和科研项目实施。纳入学校大型仪器共享平台统一管理，建立规范化运行维护机制，保障长期稳定运行。</w:t>
            </w:r>
          </w:p>
        </w:tc>
      </w:tr>
      <w:tr w14:paraId="00B49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5FBAB1DD">
            <w:pPr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其他要求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184663D9">
            <w:pPr>
              <w:spacing w:line="360" w:lineRule="auto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投标人资格要求：</w:t>
            </w:r>
          </w:p>
          <w:p w14:paraId="5F713946"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1、满足《中华人民共和国政府采购法》第二十二条规定;</w:t>
            </w:r>
          </w:p>
          <w:p w14:paraId="15AF0A2C"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2、落实政府采购政策需满足的资格要求：无</w:t>
            </w:r>
          </w:p>
          <w:p w14:paraId="7726085B"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、本项目的特定资格要求：（1）在“信用中国”（www.creditchina.gov.cn）、中国政府采购网（www.ccgp.gov.cn）、“信用山东”（credit.shandong.gov.cn）等网站中被列入失信被执行人、重大税收违法失信主体、政府采购严重违法失信行为记录名单的投标人，不得参加本次政府采购活动；</w:t>
            </w:r>
          </w:p>
          <w:p w14:paraId="091B8B1D">
            <w:pPr>
              <w:spacing w:line="360" w:lineRule="auto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（2）单位负责人为同一人或者存在直接控股、管理关系的不同投标人，不得参加同一合同项下（同一包号）的政府采购活动；</w:t>
            </w:r>
          </w:p>
        </w:tc>
      </w:tr>
    </w:tbl>
    <w:p w14:paraId="1374C9AF">
      <w:pPr>
        <w:spacing w:line="360" w:lineRule="auto"/>
        <w:rPr>
          <w:rFonts w:hint="eastAsia" w:ascii="宋体" w:hAnsi="宋体" w:eastAsia="宋体" w:cs="宋体"/>
          <w:b/>
          <w:bCs/>
          <w:sz w:val="28"/>
          <w:szCs w:val="28"/>
        </w:rPr>
      </w:pPr>
    </w:p>
    <w:p w14:paraId="2BB86792">
      <w:pPr>
        <w:spacing w:line="360" w:lineRule="auto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附件：详细技术要求</w:t>
      </w:r>
    </w:p>
    <w:tbl>
      <w:tblPr>
        <w:tblStyle w:val="9"/>
        <w:tblW w:w="13707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1374"/>
        <w:gridCol w:w="11401"/>
      </w:tblGrid>
      <w:tr w14:paraId="1FECE2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Align w:val="center"/>
          </w:tcPr>
          <w:p w14:paraId="5C6A1565">
            <w:pPr>
              <w:pStyle w:val="25"/>
              <w:spacing w:line="360" w:lineRule="auto"/>
              <w:jc w:val="both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 序号</w:t>
            </w:r>
          </w:p>
        </w:tc>
        <w:tc>
          <w:tcPr>
            <w:tcW w:w="1374" w:type="dxa"/>
            <w:vAlign w:val="center"/>
          </w:tcPr>
          <w:p w14:paraId="6CC3A25C">
            <w:pPr>
              <w:pStyle w:val="25"/>
              <w:spacing w:line="360" w:lineRule="auto"/>
              <w:jc w:val="both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标的名称</w:t>
            </w:r>
          </w:p>
        </w:tc>
        <w:tc>
          <w:tcPr>
            <w:tcW w:w="11401" w:type="dxa"/>
            <w:vAlign w:val="center"/>
          </w:tcPr>
          <w:p w14:paraId="2838A3B3">
            <w:pPr>
              <w:pStyle w:val="25"/>
              <w:spacing w:line="360" w:lineRule="auto"/>
              <w:jc w:val="both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 技术参数与性能指标</w:t>
            </w:r>
          </w:p>
        </w:tc>
      </w:tr>
      <w:tr w14:paraId="7E64E8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932" w:type="dxa"/>
            <w:vAlign w:val="center"/>
          </w:tcPr>
          <w:p w14:paraId="5DC08F63">
            <w:pPr>
              <w:pStyle w:val="25"/>
              <w:spacing w:line="360" w:lineRule="auto"/>
              <w:jc w:val="both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374" w:type="dxa"/>
            <w:vAlign w:val="center"/>
          </w:tcPr>
          <w:p w14:paraId="3F49BDEE"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电感耦合等离子体质谱仪</w:t>
            </w:r>
          </w:p>
        </w:tc>
        <w:tc>
          <w:tcPr>
            <w:tcW w:w="11401" w:type="dxa"/>
            <w:vAlign w:val="center"/>
          </w:tcPr>
          <w:p w14:paraId="0B081BB2">
            <w:pPr>
              <w:spacing w:line="360" w:lineRule="auto"/>
              <w:rPr>
                <w:rFonts w:ascii="宋体" w:hAnsi="宋体" w:eastAsia="宋体" w:cs="宋体"/>
                <w:bCs/>
                <w:sz w:val="24"/>
                <w:lang w:val="en-GB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lang w:val="en-GB"/>
              </w:rPr>
              <w:t>1、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仪器主机</w:t>
            </w:r>
            <w:r>
              <w:rPr>
                <w:rFonts w:hint="eastAsia" w:ascii="宋体" w:hAnsi="宋体" w:eastAsia="宋体" w:cs="宋体"/>
                <w:bCs/>
                <w:sz w:val="24"/>
                <w:lang w:val="en-GB"/>
              </w:rPr>
              <w:t>硬件技术指标：</w:t>
            </w:r>
          </w:p>
          <w:p w14:paraId="511B3309">
            <w:pPr>
              <w:spacing w:line="36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GB"/>
              </w:rPr>
              <w:t xml:space="preserve">1.1、雾化室： </w:t>
            </w:r>
            <w:r>
              <w:rPr>
                <w:rFonts w:hint="eastAsia" w:ascii="宋体" w:hAnsi="宋体" w:eastAsia="宋体" w:cs="宋体"/>
                <w:sz w:val="24"/>
              </w:rPr>
              <w:t>石英材质雾室</w:t>
            </w:r>
            <w:r>
              <w:rPr>
                <w:rFonts w:hint="eastAsia" w:ascii="宋体" w:hAnsi="宋体" w:eastAsia="宋体" w:cs="宋体"/>
                <w:sz w:val="24"/>
                <w:lang w:val="en-GB"/>
              </w:rPr>
              <w:t>，配置半导体制冷，通过仪器软件调节雾化室温度；</w:t>
            </w:r>
          </w:p>
          <w:p w14:paraId="1B81C307">
            <w:pPr>
              <w:spacing w:line="360" w:lineRule="auto"/>
              <w:rPr>
                <w:rFonts w:ascii="宋体" w:hAnsi="宋体" w:eastAsia="宋体" w:cs="宋体"/>
                <w:snapToGrid w:val="0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sz w:val="24"/>
              </w:rPr>
              <w:t>1.2、射频发生器：固态射频发生器，频率≥27MHz；</w:t>
            </w:r>
            <w:bookmarkStart w:id="2" w:name="_GoBack"/>
            <w:bookmarkEnd w:id="2"/>
          </w:p>
          <w:p w14:paraId="5C23A674">
            <w:pPr>
              <w:spacing w:line="36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1.3、蠕动泵：</w:t>
            </w:r>
            <w:r>
              <w:rPr>
                <w:rFonts w:hint="eastAsia" w:ascii="宋体" w:hAnsi="宋体" w:eastAsia="宋体" w:cs="宋体"/>
                <w:snapToGrid w:val="0"/>
                <w:sz w:val="24"/>
              </w:rPr>
              <w:t>≥</w:t>
            </w:r>
            <w:r>
              <w:rPr>
                <w:rFonts w:hint="eastAsia" w:ascii="宋体" w:hAnsi="宋体" w:eastAsia="宋体" w:cs="宋体"/>
                <w:sz w:val="24"/>
              </w:rPr>
              <w:t>3通道蠕动泵，泵速可调；</w:t>
            </w:r>
          </w:p>
          <w:p w14:paraId="5EB591D8">
            <w:pPr>
              <w:spacing w:line="360" w:lineRule="auto"/>
              <w:rPr>
                <w:rFonts w:ascii="宋体" w:hAnsi="宋体" w:eastAsia="宋体" w:cs="宋体"/>
                <w:sz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lang w:val="en-GB"/>
              </w:rPr>
              <w:t>1.4、工作气体控制：</w:t>
            </w:r>
            <w:r>
              <w:rPr>
                <w:rFonts w:hint="eastAsia" w:ascii="宋体" w:hAnsi="宋体" w:eastAsia="宋体" w:cs="宋体"/>
                <w:sz w:val="24"/>
              </w:rPr>
              <w:t>气体质量</w:t>
            </w:r>
            <w:r>
              <w:rPr>
                <w:rFonts w:hint="eastAsia" w:ascii="宋体" w:hAnsi="宋体" w:eastAsia="宋体" w:cs="宋体"/>
                <w:sz w:val="24"/>
                <w:lang w:val="en-GB"/>
              </w:rPr>
              <w:t>流量计控制各个工作气体，包括载气、辅助气、冷却气、基体进样系统气、碰撞反应气（可通入氧气等反应气）等多路质量流量控制气路；</w:t>
            </w:r>
          </w:p>
          <w:p w14:paraId="76A90646">
            <w:pPr>
              <w:spacing w:line="360" w:lineRule="auto"/>
              <w:rPr>
                <w:rFonts w:ascii="宋体" w:hAnsi="宋体" w:eastAsia="宋体" w:cs="宋体"/>
                <w:sz w:val="24"/>
                <w:lang w:val="en-GB"/>
              </w:rPr>
            </w:pPr>
            <w:r>
              <w:rPr>
                <w:rFonts w:hint="eastAsia" w:ascii="宋体" w:hAnsi="宋体" w:eastAsia="宋体" w:cs="宋体"/>
                <w:snapToGrid w:val="0"/>
                <w:sz w:val="24"/>
              </w:rPr>
              <w:t>1.5、矩管：一体化矩管或一体式炬管和中心管，炬管位置可在X、Y、Z三个方向通过软件自动调节优化；</w:t>
            </w:r>
          </w:p>
          <w:p w14:paraId="5BB2EAF1">
            <w:pPr>
              <w:spacing w:line="360" w:lineRule="auto"/>
              <w:rPr>
                <w:rFonts w:ascii="宋体" w:hAnsi="宋体" w:eastAsia="宋体" w:cs="宋体"/>
                <w:sz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lang w:val="en-GB"/>
              </w:rPr>
              <w:t>1.6、接口：</w:t>
            </w:r>
            <w:r>
              <w:rPr>
                <w:rFonts w:hint="eastAsia" w:ascii="宋体" w:hAnsi="宋体" w:eastAsia="宋体" w:cs="宋体"/>
                <w:sz w:val="24"/>
              </w:rPr>
              <w:t>采用</w:t>
            </w:r>
            <w:r>
              <w:rPr>
                <w:rFonts w:hint="eastAsia" w:ascii="宋体" w:hAnsi="宋体" w:eastAsia="宋体" w:cs="宋体"/>
                <w:sz w:val="24"/>
                <w:lang w:val="en-GB"/>
              </w:rPr>
              <w:t>双锥或三锥设计，</w:t>
            </w:r>
            <w:r>
              <w:rPr>
                <w:rFonts w:ascii="宋体" w:hAnsi="宋体" w:eastAsia="宋体" w:cs="宋体"/>
                <w:sz w:val="24"/>
              </w:rPr>
              <w:t>样品锥孔径≤1.1mm、截取锥孔径≤0.9mm</w:t>
            </w:r>
            <w:r>
              <w:rPr>
                <w:rFonts w:hint="eastAsia" w:ascii="宋体" w:hAnsi="宋体" w:eastAsia="宋体" w:cs="宋体"/>
                <w:sz w:val="24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lang w:val="en-GB"/>
              </w:rPr>
              <w:t>锥体材质为镍</w:t>
            </w:r>
            <w:r>
              <w:rPr>
                <w:rFonts w:hint="eastAsia" w:ascii="宋体" w:hAnsi="宋体" w:eastAsia="宋体" w:cs="宋体"/>
                <w:sz w:val="24"/>
              </w:rPr>
              <w:t>和</w:t>
            </w:r>
            <w:r>
              <w:rPr>
                <w:rFonts w:hint="eastAsia" w:ascii="宋体" w:hAnsi="宋体" w:eastAsia="宋体" w:cs="宋体"/>
                <w:sz w:val="24"/>
                <w:lang w:val="en-GB"/>
              </w:rPr>
              <w:t>铂，两种材质的锥体都应整套完整提供；</w:t>
            </w:r>
          </w:p>
          <w:p w14:paraId="79EC0719">
            <w:pPr>
              <w:spacing w:line="36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1.7、离子透镜系统：2个及以上提取透镜，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具有</w:t>
            </w:r>
            <w:r>
              <w:rPr>
                <w:rFonts w:hint="eastAsia" w:ascii="宋体" w:hAnsi="宋体" w:eastAsia="宋体" w:cs="宋体"/>
                <w:sz w:val="24"/>
              </w:rPr>
              <w:t>零、正、负</w:t>
            </w:r>
            <w:r>
              <w:rPr>
                <w:rFonts w:hint="default" w:ascii="宋体" w:hAnsi="宋体" w:eastAsia="宋体" w:cs="宋体"/>
                <w:sz w:val="24"/>
                <w:lang w:val="en-US"/>
              </w:rPr>
              <w:t>电压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等</w:t>
            </w:r>
            <w:r>
              <w:rPr>
                <w:rFonts w:hint="eastAsia" w:ascii="宋体" w:hAnsi="宋体" w:eastAsia="宋体" w:cs="宋体"/>
                <w:sz w:val="24"/>
              </w:rPr>
              <w:t>模式；</w:t>
            </w:r>
          </w:p>
          <w:p w14:paraId="6ED94B55">
            <w:pPr>
              <w:spacing w:line="36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1.8、具有离子偏转传输系统；</w:t>
            </w:r>
          </w:p>
          <w:p w14:paraId="212BE275">
            <w:pPr>
              <w:spacing w:line="36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  <w:lang w:val="en-GB"/>
              </w:rPr>
              <w:t>1.9、</w:t>
            </w:r>
            <w:r>
              <w:rPr>
                <w:rFonts w:hint="eastAsia" w:ascii="宋体" w:hAnsi="宋体" w:eastAsia="宋体" w:cs="宋体"/>
                <w:sz w:val="24"/>
              </w:rPr>
              <w:t>多级杆组成的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  <w:lang w:val="en-GB"/>
              </w:rPr>
              <w:t>碰撞/反应池：碰撞/反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lang w:val="en-GB"/>
              </w:rPr>
              <w:t>应池可实现碰撞模式或反应模式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</w:rPr>
              <w:t>等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lang w:val="en-GB"/>
              </w:rPr>
              <w:t>消除干扰的模式，可接多路碰撞气路或反应气路，所有气路均采用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</w:rPr>
              <w:t>电子流量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sz w:val="24"/>
                <w:lang w:val="en-GB"/>
              </w:rPr>
              <w:t>控制；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可与四极杆质量分析器动态调谐；</w:t>
            </w:r>
          </w:p>
          <w:p w14:paraId="2B9B6F9B">
            <w:pPr>
              <w:spacing w:line="36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1.10、具有四极杆质量分析器；</w:t>
            </w:r>
          </w:p>
          <w:p w14:paraId="051563A1">
            <w:pPr>
              <w:spacing w:line="360" w:lineRule="auto"/>
              <w:rPr>
                <w:rFonts w:ascii="宋体" w:hAnsi="宋体" w:eastAsia="宋体" w:cs="宋体"/>
                <w:sz w:val="24"/>
              </w:rPr>
            </w:pPr>
            <w:bookmarkStart w:id="0" w:name="OLE_LINK2"/>
            <w:bookmarkStart w:id="1" w:name="OLE_LINK1"/>
            <w:r>
              <w:rPr>
                <w:rFonts w:hint="eastAsia" w:ascii="宋体" w:hAnsi="宋体" w:eastAsia="宋体" w:cs="宋体"/>
                <w:sz w:val="24"/>
                <w:lang w:val="en-GB"/>
              </w:rPr>
              <w:t>1.11</w:t>
            </w:r>
            <w:bookmarkEnd w:id="0"/>
            <w:bookmarkEnd w:id="1"/>
            <w:r>
              <w:rPr>
                <w:rFonts w:hint="eastAsia" w:ascii="宋体" w:hAnsi="宋体" w:eastAsia="宋体" w:cs="宋体"/>
                <w:sz w:val="24"/>
                <w:lang w:val="en-GB"/>
              </w:rPr>
              <w:t>、</w:t>
            </w:r>
            <w:r>
              <w:rPr>
                <w:rFonts w:hint="eastAsia" w:ascii="宋体" w:hAnsi="宋体" w:eastAsia="宋体" w:cs="宋体"/>
                <w:sz w:val="24"/>
              </w:rPr>
              <w:t>质谱</w:t>
            </w:r>
            <w:r>
              <w:rPr>
                <w:rFonts w:hint="eastAsia" w:ascii="宋体" w:hAnsi="宋体" w:eastAsia="宋体" w:cs="宋体"/>
                <w:sz w:val="24"/>
                <w:lang w:val="en-GB"/>
              </w:rPr>
              <w:t>质量范围</w:t>
            </w:r>
            <w:r>
              <w:rPr>
                <w:rFonts w:hint="eastAsia" w:ascii="宋体" w:hAnsi="宋体" w:eastAsia="宋体" w:cs="宋体"/>
                <w:sz w:val="24"/>
              </w:rPr>
              <w:t>：3-</w:t>
            </w:r>
            <w:r>
              <w:rPr>
                <w:rFonts w:hint="eastAsia" w:ascii="宋体" w:hAnsi="宋体" w:eastAsia="宋体" w:cs="宋体"/>
                <w:sz w:val="24"/>
                <w:lang w:val="en-GB"/>
              </w:rPr>
              <w:t>240amu；</w:t>
            </w:r>
          </w:p>
          <w:p w14:paraId="209BD48F">
            <w:pPr>
              <w:spacing w:line="360" w:lineRule="auto"/>
              <w:rPr>
                <w:rFonts w:ascii="宋体" w:hAnsi="宋体" w:eastAsia="宋体" w:cs="宋体"/>
                <w:sz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lang w:val="en-GB"/>
              </w:rPr>
              <w:t>1.12、 检测器：动态线性范围≥10个数量级；</w:t>
            </w:r>
          </w:p>
          <w:p w14:paraId="153626DA">
            <w:pPr>
              <w:spacing w:line="360" w:lineRule="auto"/>
              <w:rPr>
                <w:rFonts w:hint="eastAsia" w:ascii="宋体" w:hAnsi="宋体" w:eastAsia="宋体" w:cs="宋体"/>
                <w:sz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lang w:val="en-GB"/>
              </w:rPr>
              <w:t>1.13 、进样系统：具备气体稀释功能；</w:t>
            </w:r>
            <w:r>
              <w:rPr>
                <w:rFonts w:hint="eastAsia" w:ascii="宋体" w:hAnsi="宋体" w:eastAsia="宋体" w:cs="宋体"/>
                <w:sz w:val="24"/>
              </w:rPr>
              <w:t>具备</w:t>
            </w:r>
            <w:r>
              <w:rPr>
                <w:rFonts w:hint="eastAsia" w:ascii="宋体" w:hAnsi="宋体" w:eastAsia="宋体" w:cs="宋体"/>
                <w:sz w:val="24"/>
                <w:lang w:val="en-GB"/>
              </w:rPr>
              <w:t>耐高盐接口，具备有机加氧功能，可实现有机化学品不经消解直接进样分析；</w:t>
            </w:r>
          </w:p>
          <w:p w14:paraId="597D35D0">
            <w:pPr>
              <w:spacing w:line="360" w:lineRule="auto"/>
              <w:rPr>
                <w:rFonts w:hint="eastAsia" w:ascii="宋体" w:hAnsi="宋体" w:eastAsia="宋体" w:cs="宋体"/>
                <w:sz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1.14、</w:t>
            </w:r>
            <w:r>
              <w:rPr>
                <w:rFonts w:hint="eastAsia" w:ascii="宋体" w:hAnsi="宋体" w:eastAsia="宋体" w:cs="宋体"/>
                <w:sz w:val="24"/>
                <w:lang w:val="en-GB"/>
              </w:rPr>
              <w:t>自动进样器：</w:t>
            </w:r>
            <w:r>
              <w:rPr>
                <w:rFonts w:hint="eastAsia" w:ascii="宋体" w:hAnsi="宋体" w:eastAsia="宋体" w:cs="宋体"/>
                <w:sz w:val="24"/>
              </w:rPr>
              <w:t>≥160</w:t>
            </w:r>
            <w:r>
              <w:rPr>
                <w:rFonts w:hint="eastAsia" w:ascii="宋体" w:hAnsi="宋体" w:eastAsia="宋体" w:cs="宋体"/>
                <w:sz w:val="24"/>
                <w:lang w:val="en-GB"/>
              </w:rPr>
              <w:t>位。</w:t>
            </w:r>
          </w:p>
          <w:p w14:paraId="33864461">
            <w:pPr>
              <w:spacing w:line="360" w:lineRule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1.15、满足持续供电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  <w:p w14:paraId="40FA1295">
            <w:pPr>
              <w:tabs>
                <w:tab w:val="left" w:pos="1133"/>
                <w:tab w:val="left" w:pos="2402"/>
                <w:tab w:val="left" w:pos="3562"/>
                <w:tab w:val="left" w:pos="5743"/>
                <w:tab w:val="left" w:pos="6986"/>
                <w:tab w:val="left" w:pos="8131"/>
              </w:tabs>
              <w:autoSpaceDE w:val="0"/>
              <w:autoSpaceDN w:val="0"/>
              <w:adjustRightInd w:val="0"/>
              <w:spacing w:line="360" w:lineRule="auto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2. 性能指标</w:t>
            </w:r>
          </w:p>
          <w:p w14:paraId="0A97B7E4">
            <w:pPr>
              <w:spacing w:line="360" w:lineRule="auto"/>
              <w:rPr>
                <w:rFonts w:hint="eastAsia" w:ascii="宋体" w:hAnsi="宋体" w:eastAsia="宋体" w:cs="宋体"/>
                <w:sz w:val="24"/>
                <w:lang w:val="en-GB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GB"/>
              </w:rPr>
              <w:t>2.1、灵敏度： 低质量数Li7:</w:t>
            </w: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lang w:eastAsia="ja-JP"/>
              </w:rPr>
              <w:sym w:font="Symbol" w:char="F0B3"/>
            </w:r>
            <w:r>
              <w:rPr>
                <w:rFonts w:hint="eastAsia" w:ascii="宋体" w:hAnsi="宋体" w:eastAsia="宋体" w:cs="宋体"/>
                <w:sz w:val="24"/>
              </w:rPr>
              <w:t xml:space="preserve"> 100 Mcps/ppm</w:t>
            </w:r>
            <w:r>
              <w:rPr>
                <w:rFonts w:hint="eastAsia" w:ascii="宋体" w:hAnsi="宋体" w:eastAsia="宋体" w:cs="宋体"/>
                <w:sz w:val="24"/>
                <w:lang w:val="en-GB"/>
              </w:rPr>
              <w:t>；中质量数 In115:</w:t>
            </w: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lang w:eastAsia="ja-JP"/>
              </w:rPr>
              <w:sym w:font="Symbol" w:char="F0B3"/>
            </w:r>
            <w:r>
              <w:rPr>
                <w:rFonts w:hint="eastAsia" w:ascii="宋体" w:hAnsi="宋体" w:eastAsia="宋体" w:cs="宋体"/>
                <w:sz w:val="24"/>
              </w:rPr>
              <w:t xml:space="preserve"> 300</w:t>
            </w:r>
            <w:r>
              <w:rPr>
                <w:rFonts w:hint="eastAsia" w:ascii="宋体" w:hAnsi="宋体" w:eastAsia="宋体" w:cs="宋体"/>
                <w:sz w:val="24"/>
                <w:lang w:val="en-GB"/>
              </w:rPr>
              <w:t xml:space="preserve"> Mcps/pp</w:t>
            </w:r>
            <w:r>
              <w:rPr>
                <w:rFonts w:hint="eastAsia" w:ascii="宋体" w:hAnsi="宋体" w:eastAsia="宋体" w:cs="宋体"/>
                <w:sz w:val="24"/>
              </w:rPr>
              <w:t>m；</w:t>
            </w:r>
            <w:r>
              <w:rPr>
                <w:rFonts w:hint="eastAsia" w:ascii="宋体" w:hAnsi="宋体" w:eastAsia="宋体" w:cs="宋体"/>
                <w:sz w:val="24"/>
                <w:lang w:val="en-GB"/>
              </w:rPr>
              <w:t>高质量数 Tl205:</w:t>
            </w: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lang w:eastAsia="ja-JP"/>
              </w:rPr>
              <w:sym w:font="Symbol" w:char="F0B3"/>
            </w: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lang w:val="en-GB"/>
              </w:rPr>
              <w:t>200 Mcps/ppm</w:t>
            </w:r>
            <w:r>
              <w:rPr>
                <w:rFonts w:hint="eastAsia" w:ascii="宋体" w:hAnsi="宋体" w:eastAsia="宋体" w:cs="宋体"/>
                <w:sz w:val="24"/>
                <w:lang w:val="en-GB" w:eastAsia="zh-CN"/>
              </w:rPr>
              <w:t>；</w:t>
            </w:r>
          </w:p>
          <w:p w14:paraId="0AFD2C02">
            <w:pPr>
              <w:spacing w:line="360" w:lineRule="auto"/>
              <w:rPr>
                <w:rFonts w:ascii="宋体" w:hAnsi="宋体" w:eastAsia="宋体" w:cs="宋体"/>
                <w:strike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2.2、</w:t>
            </w:r>
            <w:r>
              <w:rPr>
                <w:rFonts w:hint="eastAsia" w:ascii="宋体" w:hAnsi="宋体" w:eastAsia="宋体" w:cs="宋体"/>
                <w:sz w:val="24"/>
                <w:lang w:eastAsia="ja-JP"/>
              </w:rPr>
              <w:t>检</w:t>
            </w:r>
            <w:r>
              <w:rPr>
                <w:rFonts w:hint="eastAsia" w:ascii="宋体" w:hAnsi="宋体" w:eastAsia="宋体" w:cs="宋体"/>
                <w:sz w:val="24"/>
              </w:rPr>
              <w:t xml:space="preserve">测限： </w:t>
            </w:r>
            <w:r>
              <w:rPr>
                <w:rFonts w:hint="eastAsia" w:ascii="宋体" w:hAnsi="宋体" w:eastAsia="宋体" w:cs="宋体"/>
                <w:sz w:val="24"/>
                <w:lang w:val="en-GB"/>
              </w:rPr>
              <w:t>低质量数</w:t>
            </w:r>
            <w:r>
              <w:rPr>
                <w:rFonts w:hint="eastAsia" w:ascii="宋体" w:hAnsi="宋体" w:eastAsia="宋体" w:cs="宋体"/>
                <w:sz w:val="24"/>
                <w:lang w:val="en-GB" w:eastAsia="ja-JP"/>
              </w:rPr>
              <w:t>Be</w:t>
            </w:r>
            <w:r>
              <w:rPr>
                <w:rFonts w:hint="eastAsia" w:ascii="宋体" w:hAnsi="宋体" w:eastAsia="宋体" w:cs="宋体"/>
                <w:sz w:val="24"/>
                <w:lang w:val="en-GB"/>
              </w:rPr>
              <w:t>:</w:t>
            </w:r>
            <w:r>
              <w:rPr>
                <w:rFonts w:hint="eastAsia" w:ascii="宋体" w:hAnsi="宋体" w:eastAsia="宋体" w:cs="宋体"/>
                <w:sz w:val="24"/>
                <w:lang w:eastAsia="ja-JP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lang w:eastAsia="ja-JP"/>
              </w:rPr>
              <w:sym w:font="Symbol" w:char="F0A3"/>
            </w:r>
            <w:r>
              <w:rPr>
                <w:rFonts w:hint="eastAsia" w:ascii="宋体" w:hAnsi="宋体" w:eastAsia="宋体" w:cs="宋体"/>
                <w:sz w:val="24"/>
                <w:lang w:eastAsia="ja-JP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</w:rPr>
              <w:t xml:space="preserve">0.5 </w:t>
            </w:r>
            <w:r>
              <w:rPr>
                <w:rFonts w:hint="eastAsia" w:ascii="宋体" w:hAnsi="宋体" w:eastAsia="宋体" w:cs="宋体"/>
                <w:sz w:val="24"/>
                <w:lang w:eastAsia="ja-JP"/>
              </w:rPr>
              <w:t>ppt</w:t>
            </w:r>
            <w:r>
              <w:rPr>
                <w:rFonts w:hint="eastAsia" w:ascii="宋体" w:hAnsi="宋体" w:eastAsia="宋体" w:cs="宋体"/>
                <w:sz w:val="24"/>
              </w:rPr>
              <w:t>；</w:t>
            </w:r>
            <w:r>
              <w:rPr>
                <w:rFonts w:hint="eastAsia" w:ascii="宋体" w:hAnsi="宋体" w:eastAsia="宋体" w:cs="宋体"/>
                <w:sz w:val="24"/>
                <w:lang w:val="en-GB"/>
              </w:rPr>
              <w:t>中质量数</w:t>
            </w:r>
            <w:r>
              <w:rPr>
                <w:rFonts w:hint="eastAsia" w:ascii="宋体" w:hAnsi="宋体" w:eastAsia="宋体" w:cs="宋体"/>
                <w:sz w:val="24"/>
                <w:lang w:val="en-GB" w:eastAsia="ja-JP"/>
              </w:rPr>
              <w:t>In</w:t>
            </w:r>
            <w:r>
              <w:rPr>
                <w:rFonts w:hint="eastAsia" w:ascii="宋体" w:hAnsi="宋体" w:eastAsia="宋体" w:cs="宋体"/>
                <w:sz w:val="24"/>
                <w:lang w:val="en-GB"/>
              </w:rPr>
              <w:t>:</w:t>
            </w:r>
            <w:r>
              <w:rPr>
                <w:rFonts w:hint="eastAsia" w:ascii="宋体" w:hAnsi="宋体" w:eastAsia="宋体" w:cs="宋体"/>
                <w:sz w:val="24"/>
                <w:lang w:eastAsia="ja-JP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lang w:eastAsia="ja-JP"/>
              </w:rPr>
              <w:sym w:font="Symbol" w:char="F0A3"/>
            </w:r>
            <w:r>
              <w:rPr>
                <w:rFonts w:hint="eastAsia" w:ascii="宋体" w:hAnsi="宋体" w:eastAsia="宋体" w:cs="宋体"/>
                <w:sz w:val="24"/>
                <w:lang w:eastAsia="ja-JP"/>
              </w:rPr>
              <w:t xml:space="preserve"> 0.</w:t>
            </w:r>
            <w:r>
              <w:rPr>
                <w:rFonts w:hint="eastAsia" w:ascii="宋体" w:hAnsi="宋体" w:eastAsia="宋体" w:cs="宋体"/>
                <w:sz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lang w:eastAsia="ja-JP"/>
              </w:rPr>
              <w:t xml:space="preserve"> ppt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4"/>
                <w:lang w:val="en-GB"/>
              </w:rPr>
              <w:t>高质量数 Bi:</w:t>
            </w: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lang w:eastAsia="ja-JP"/>
              </w:rPr>
              <w:sym w:font="Symbol" w:char="F0A3"/>
            </w:r>
            <w:r>
              <w:rPr>
                <w:rFonts w:hint="eastAsia" w:ascii="宋体" w:hAnsi="宋体" w:eastAsia="宋体" w:cs="宋体"/>
                <w:sz w:val="24"/>
              </w:rPr>
              <w:t xml:space="preserve"> 0.1 ppt或U (238)：＜0.1 ppt</w:t>
            </w:r>
          </w:p>
          <w:p w14:paraId="3A4248DE">
            <w:pPr>
              <w:spacing w:line="360" w:lineRule="auto"/>
              <w:rPr>
                <w:rFonts w:ascii="宋体" w:hAnsi="宋体" w:eastAsia="宋体" w:cs="宋体"/>
                <w:sz w:val="24"/>
                <w:lang w:val="en-GB"/>
              </w:rPr>
            </w:pPr>
            <w:r>
              <w:rPr>
                <w:rFonts w:hint="eastAsia" w:ascii="宋体" w:hAnsi="宋体" w:eastAsia="宋体" w:cs="宋体"/>
                <w:sz w:val="24"/>
                <w:lang w:val="en-GB"/>
              </w:rPr>
              <w:t>2.3、氧化物指标</w:t>
            </w:r>
            <w:r>
              <w:rPr>
                <w:rFonts w:hint="eastAsia" w:ascii="宋体" w:hAnsi="宋体" w:eastAsia="宋体" w:cs="宋体"/>
                <w:sz w:val="24"/>
                <w:lang w:val="en-GB"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lang w:val="en-GB"/>
              </w:rPr>
              <w:t>CeO</w:t>
            </w:r>
            <w:r>
              <w:rPr>
                <w:rFonts w:hint="eastAsia" w:ascii="宋体" w:hAnsi="宋体" w:eastAsia="宋体" w:cs="宋体"/>
                <w:sz w:val="24"/>
                <w:vertAlign w:val="superscript"/>
                <w:lang w:val="en-GB"/>
              </w:rPr>
              <w:t>+</w:t>
            </w:r>
            <w:r>
              <w:rPr>
                <w:rFonts w:hint="eastAsia" w:ascii="宋体" w:hAnsi="宋体" w:eastAsia="宋体" w:cs="宋体"/>
                <w:sz w:val="24"/>
                <w:lang w:val="en-GB"/>
              </w:rPr>
              <w:t>/</w:t>
            </w:r>
            <w:r>
              <w:rPr>
                <w:rFonts w:hint="eastAsia" w:ascii="宋体" w:hAnsi="宋体" w:eastAsia="宋体" w:cs="宋体"/>
                <w:sz w:val="24"/>
              </w:rPr>
              <w:t>Ce</w:t>
            </w:r>
            <w:r>
              <w:rPr>
                <w:rFonts w:hint="eastAsia" w:ascii="宋体" w:hAnsi="宋体" w:eastAsia="宋体" w:cs="宋体"/>
                <w:sz w:val="24"/>
                <w:vertAlign w:val="superscript"/>
                <w:lang w:val="en-GB"/>
              </w:rPr>
              <w:t>+</w:t>
            </w:r>
            <w:r>
              <w:rPr>
                <w:rFonts w:hint="eastAsia" w:ascii="宋体" w:hAnsi="宋体" w:eastAsia="宋体" w:cs="宋体"/>
                <w:sz w:val="24"/>
                <w:lang w:val="en-GB"/>
              </w:rPr>
              <w:t>:</w:t>
            </w:r>
            <w:r>
              <w:rPr>
                <w:rFonts w:hint="eastAsia" w:ascii="宋体" w:hAnsi="宋体" w:eastAsia="宋体" w:cs="宋体"/>
                <w:sz w:val="24"/>
                <w:lang w:eastAsia="ja-JP"/>
              </w:rPr>
              <w:sym w:font="Symbol" w:char="F0A3"/>
            </w:r>
            <w:r>
              <w:rPr>
                <w:rFonts w:hint="eastAsia" w:ascii="宋体" w:hAnsi="宋体" w:eastAsia="宋体" w:cs="宋体"/>
                <w:sz w:val="24"/>
                <w:lang w:val="en-GB"/>
              </w:rPr>
              <w:t xml:space="preserve"> 1.8%；</w:t>
            </w:r>
          </w:p>
          <w:p w14:paraId="3909C53C">
            <w:pPr>
              <w:spacing w:line="360" w:lineRule="auto"/>
              <w:rPr>
                <w:rFonts w:hint="eastAsia" w:ascii="宋体" w:hAnsi="宋体" w:eastAsia="宋体" w:cs="宋体"/>
                <w:sz w:val="24"/>
                <w:lang w:val="en-GB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GB"/>
              </w:rPr>
              <w:t>2.4、双电荷干扰</w:t>
            </w:r>
            <w:r>
              <w:rPr>
                <w:rFonts w:hint="eastAsia" w:ascii="宋体" w:hAnsi="宋体" w:eastAsia="宋体" w:cs="宋体"/>
                <w:sz w:val="24"/>
                <w:lang w:val="en-GB"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lang w:val="en-GB"/>
              </w:rPr>
              <w:t>Ce</w:t>
            </w:r>
            <w:r>
              <w:rPr>
                <w:rFonts w:hint="eastAsia" w:ascii="宋体" w:hAnsi="宋体" w:eastAsia="宋体" w:cs="宋体"/>
                <w:sz w:val="24"/>
                <w:vertAlign w:val="superscript"/>
                <w:lang w:val="en-GB"/>
              </w:rPr>
              <w:t>2+</w:t>
            </w:r>
            <w:r>
              <w:rPr>
                <w:rFonts w:hint="eastAsia" w:ascii="宋体" w:hAnsi="宋体" w:eastAsia="宋体" w:cs="宋体"/>
                <w:sz w:val="24"/>
                <w:lang w:val="en-GB"/>
              </w:rPr>
              <w:t>/</w:t>
            </w:r>
            <w:r>
              <w:rPr>
                <w:rFonts w:hint="eastAsia" w:ascii="宋体" w:hAnsi="宋体" w:eastAsia="宋体" w:cs="宋体"/>
                <w:sz w:val="24"/>
              </w:rPr>
              <w:t>Ce</w:t>
            </w:r>
            <w:r>
              <w:rPr>
                <w:rFonts w:hint="eastAsia" w:ascii="宋体" w:hAnsi="宋体" w:eastAsia="宋体" w:cs="宋体"/>
                <w:sz w:val="24"/>
                <w:vertAlign w:val="superscript"/>
                <w:lang w:val="en-GB"/>
              </w:rPr>
              <w:t>+</w:t>
            </w:r>
            <w:r>
              <w:rPr>
                <w:rFonts w:hint="eastAsia" w:ascii="宋体" w:hAnsi="宋体" w:eastAsia="宋体" w:cs="宋体"/>
                <w:sz w:val="24"/>
                <w:lang w:val="en-GB"/>
              </w:rPr>
              <w:t>:</w:t>
            </w:r>
            <w:r>
              <w:rPr>
                <w:rFonts w:hint="eastAsia" w:ascii="宋体" w:hAnsi="宋体" w:eastAsia="宋体" w:cs="宋体"/>
                <w:sz w:val="24"/>
                <w:lang w:eastAsia="ja-JP"/>
              </w:rPr>
              <w:sym w:font="Symbol" w:char="F0A3"/>
            </w:r>
            <w:r>
              <w:rPr>
                <w:rFonts w:hint="eastAsia" w:ascii="宋体" w:hAnsi="宋体" w:eastAsia="宋体" w:cs="宋体"/>
                <w:sz w:val="24"/>
                <w:lang w:val="en-GB"/>
              </w:rPr>
              <w:t xml:space="preserve"> 3.0%</w:t>
            </w:r>
            <w:r>
              <w:rPr>
                <w:rFonts w:hint="eastAsia" w:ascii="宋体" w:hAnsi="宋体" w:eastAsia="宋体" w:cs="宋体"/>
                <w:sz w:val="24"/>
                <w:lang w:val="en-GB" w:eastAsia="zh-CN"/>
              </w:rPr>
              <w:t>；</w:t>
            </w:r>
          </w:p>
          <w:p w14:paraId="46E06FFB">
            <w:pPr>
              <w:spacing w:line="36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GB"/>
              </w:rPr>
              <w:t>2.</w:t>
            </w:r>
            <w:r>
              <w:rPr>
                <w:rFonts w:hint="eastAsia" w:ascii="宋体" w:hAnsi="宋体" w:eastAsia="宋体" w:cs="宋体"/>
                <w:sz w:val="24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lang w:val="en-GB"/>
              </w:rPr>
              <w:t>、短期稳定性(RSD):</w:t>
            </w: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lang w:eastAsia="ja-JP"/>
              </w:rPr>
              <w:sym w:font="Symbol" w:char="F0A3"/>
            </w:r>
            <w:r>
              <w:rPr>
                <w:rFonts w:hint="eastAsia" w:ascii="宋体" w:hAnsi="宋体" w:eastAsia="宋体" w:cs="宋体"/>
                <w:sz w:val="24"/>
                <w:lang w:val="en-GB"/>
              </w:rPr>
              <w:t xml:space="preserve"> 2% (30分钟)，长期稳定性(RSD):</w:t>
            </w: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lang w:eastAsia="ja-JP"/>
              </w:rPr>
              <w:sym w:font="Symbol" w:char="F0A3"/>
            </w:r>
            <w:r>
              <w:rPr>
                <w:rFonts w:hint="eastAsia" w:ascii="宋体" w:hAnsi="宋体" w:eastAsia="宋体" w:cs="宋体"/>
                <w:sz w:val="24"/>
              </w:rPr>
              <w:t xml:space="preserve"> 3% （4小时）；</w:t>
            </w:r>
          </w:p>
          <w:p w14:paraId="20D89524">
            <w:pPr>
              <w:spacing w:line="36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GB"/>
              </w:rPr>
              <w:t>2.</w:t>
            </w:r>
            <w:r>
              <w:rPr>
                <w:rFonts w:hint="eastAsia" w:ascii="宋体" w:hAnsi="宋体" w:eastAsia="宋体" w:cs="宋体"/>
                <w:sz w:val="24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lang w:val="en-GB"/>
              </w:rPr>
              <w:t>、系统背景</w:t>
            </w:r>
            <w:r>
              <w:rPr>
                <w:rFonts w:hint="eastAsia" w:ascii="宋体" w:hAnsi="宋体" w:eastAsia="宋体" w:cs="宋体"/>
                <w:sz w:val="24"/>
                <w:lang w:val="en-GB"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vertAlign w:val="superscript"/>
                <w:lang w:val="en-GB"/>
              </w:rPr>
              <w:t>9</w:t>
            </w:r>
            <w:r>
              <w:rPr>
                <w:rFonts w:hint="eastAsia" w:ascii="宋体" w:hAnsi="宋体" w:eastAsia="宋体" w:cs="宋体"/>
                <w:sz w:val="24"/>
              </w:rPr>
              <w:t xml:space="preserve">Be </w:t>
            </w:r>
            <w:r>
              <w:rPr>
                <w:rFonts w:hint="eastAsia" w:ascii="宋体" w:hAnsi="宋体" w:eastAsia="宋体" w:cs="宋体"/>
                <w:sz w:val="24"/>
                <w:lang w:eastAsia="ja-JP"/>
              </w:rPr>
              <w:sym w:font="Symbol" w:char="F0A3"/>
            </w:r>
            <w:r>
              <w:rPr>
                <w:rFonts w:hint="eastAsia" w:ascii="宋体" w:hAnsi="宋体" w:eastAsia="宋体" w:cs="宋体"/>
                <w:sz w:val="24"/>
                <w:lang w:val="en-GB"/>
              </w:rPr>
              <w:t xml:space="preserve"> 1 cps</w:t>
            </w:r>
            <w:r>
              <w:rPr>
                <w:rFonts w:hint="eastAsia" w:ascii="宋体" w:hAnsi="宋体" w:eastAsia="宋体" w:cs="宋体"/>
                <w:sz w:val="24"/>
                <w:lang w:val="en-GB" w:eastAsia="zh-CN"/>
              </w:rPr>
              <w:t>；</w:t>
            </w:r>
            <w:r>
              <w:rPr>
                <w:rFonts w:hint="eastAsia" w:ascii="宋体" w:hAnsi="宋体" w:eastAsia="宋体" w:cs="宋体"/>
                <w:sz w:val="24"/>
                <w:lang w:val="en-GB"/>
              </w:rPr>
              <w:t xml:space="preserve"> </w:t>
            </w:r>
          </w:p>
          <w:p w14:paraId="2FDE52A8">
            <w:pPr>
              <w:spacing w:line="360" w:lineRule="auto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2.7、耐高盐进样系统氧化物指标：CeO+/Ce+≤ 0.6 %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。</w:t>
            </w:r>
          </w:p>
          <w:p w14:paraId="00E424BE">
            <w:pPr>
              <w:spacing w:line="360" w:lineRule="auto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3、ICP-MS操作软件:</w:t>
            </w:r>
            <w:r>
              <w:rPr>
                <w:rFonts w:hint="eastAsia" w:ascii="宋体" w:hAnsi="宋体" w:eastAsia="宋体" w:cs="宋体"/>
                <w:sz w:val="24"/>
              </w:rPr>
              <w:t xml:space="preserve"> 配置与仪器配套的控制软件；</w:t>
            </w:r>
          </w:p>
          <w:p w14:paraId="4B623F4D">
            <w:pPr>
              <w:spacing w:line="360" w:lineRule="auto"/>
              <w:rPr>
                <w:rFonts w:ascii="宋体" w:hAnsi="宋体" w:eastAsia="宋体" w:cs="宋体"/>
                <w:sz w:val="24"/>
                <w:lang w:val="en-GB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4、配置要求</w:t>
            </w:r>
          </w:p>
          <w:p w14:paraId="1323423F">
            <w:pPr>
              <w:tabs>
                <w:tab w:val="left" w:pos="180"/>
                <w:tab w:val="left" w:pos="525"/>
              </w:tabs>
              <w:spacing w:line="360" w:lineRule="auto"/>
              <w:rPr>
                <w:rFonts w:ascii="宋体" w:hAnsi="宋体" w:eastAsia="宋体" w:cs="宋体"/>
                <w:bCs/>
                <w:color w:val="00000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</w:rPr>
              <w:t>4.1 、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0"/>
              </w:rPr>
              <w:t>ICP-MS 主机1台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0"/>
              </w:rPr>
              <w:t>4.2、半导体制冷雾室1套</w:t>
            </w:r>
          </w:p>
          <w:p w14:paraId="4AB11E96">
            <w:pPr>
              <w:tabs>
                <w:tab w:val="left" w:pos="180"/>
                <w:tab w:val="left" w:pos="525"/>
              </w:tabs>
              <w:spacing w:line="360" w:lineRule="auto"/>
              <w:rPr>
                <w:rFonts w:ascii="宋体" w:hAnsi="宋体" w:eastAsia="宋体" w:cs="宋体"/>
                <w:bCs/>
                <w:color w:val="00000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0"/>
              </w:rPr>
              <w:t>4.3、在线内标混合器1套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0"/>
              </w:rPr>
              <w:t>4.4、在线氩气稀释系统1套</w:t>
            </w:r>
          </w:p>
          <w:p w14:paraId="07EF4713">
            <w:pPr>
              <w:tabs>
                <w:tab w:val="left" w:pos="180"/>
                <w:tab w:val="left" w:pos="525"/>
              </w:tabs>
              <w:spacing w:line="360" w:lineRule="auto"/>
              <w:rPr>
                <w:rFonts w:ascii="宋体" w:hAnsi="宋体" w:eastAsia="宋体" w:cs="宋体"/>
                <w:bCs/>
                <w:color w:val="00000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0"/>
              </w:rPr>
              <w:t>4.5、≥160位自动进样器1台（含</w:t>
            </w:r>
            <w:r>
              <w:rPr>
                <w:rFonts w:hint="eastAsia" w:ascii="宋体" w:hAnsi="宋体" w:eastAsia="宋体" w:cs="宋体"/>
                <w:bCs/>
                <w:sz w:val="24"/>
                <w:szCs w:val="20"/>
              </w:rPr>
              <w:t>防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0"/>
              </w:rPr>
              <w:t>尘罩）</w:t>
            </w:r>
          </w:p>
          <w:p w14:paraId="01864A92">
            <w:pPr>
              <w:tabs>
                <w:tab w:val="left" w:pos="180"/>
                <w:tab w:val="left" w:pos="525"/>
              </w:tabs>
              <w:spacing w:line="360" w:lineRule="auto"/>
              <w:rPr>
                <w:rFonts w:ascii="宋体" w:hAnsi="宋体" w:eastAsia="宋体" w:cs="宋体"/>
                <w:bCs/>
                <w:color w:val="00000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0"/>
              </w:rPr>
              <w:t>4.6、冷却循环水系统1台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0"/>
              </w:rPr>
              <w:t>4.7、配套专用机械泵1台</w:t>
            </w:r>
          </w:p>
          <w:p w14:paraId="17E76C07">
            <w:pPr>
              <w:tabs>
                <w:tab w:val="left" w:pos="180"/>
                <w:tab w:val="left" w:pos="525"/>
              </w:tabs>
              <w:spacing w:line="360" w:lineRule="auto"/>
              <w:rPr>
                <w:rFonts w:ascii="宋体" w:hAnsi="宋体" w:eastAsia="宋体" w:cs="宋体"/>
                <w:bCs/>
                <w:color w:val="00000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0"/>
              </w:rPr>
              <w:t>4.8、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机械泵油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0"/>
              </w:rPr>
              <w:t>3L</w:t>
            </w:r>
          </w:p>
          <w:p w14:paraId="242809BC">
            <w:pPr>
              <w:tabs>
                <w:tab w:val="left" w:pos="180"/>
                <w:tab w:val="left" w:pos="525"/>
              </w:tabs>
              <w:spacing w:line="360" w:lineRule="auto"/>
              <w:rPr>
                <w:rFonts w:ascii="宋体" w:hAnsi="宋体" w:eastAsia="宋体" w:cs="宋体"/>
                <w:bCs/>
                <w:color w:val="00000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0"/>
              </w:rPr>
              <w:t>4.9、蠕动泵进样管、内标管、废液管各12根，PFA样品管1根，另配锥体2套。</w:t>
            </w:r>
          </w:p>
          <w:p w14:paraId="2F0A3153">
            <w:pPr>
              <w:tabs>
                <w:tab w:val="left" w:pos="180"/>
                <w:tab w:val="left" w:pos="525"/>
              </w:tabs>
              <w:spacing w:line="360" w:lineRule="auto"/>
              <w:rPr>
                <w:rFonts w:ascii="宋体" w:hAnsi="宋体" w:eastAsia="宋体" w:cs="宋体"/>
                <w:bCs/>
                <w:color w:val="00000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0"/>
              </w:rPr>
              <w:t>4.10、检测器调谐液1瓶（100ml）</w:t>
            </w:r>
          </w:p>
          <w:p w14:paraId="35130BF1">
            <w:pPr>
              <w:spacing w:line="360" w:lineRule="auto"/>
              <w:rPr>
                <w:rFonts w:ascii="宋体" w:hAnsi="宋体" w:eastAsia="宋体" w:cs="宋体"/>
                <w:bCs/>
                <w:color w:val="00000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0"/>
              </w:rPr>
              <w:t>4.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0"/>
                <w:lang w:eastAsia="ja-JP"/>
              </w:rPr>
              <w:t>1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0"/>
              </w:rPr>
              <w:t>1、工作站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0"/>
                <w:lang w:val="en-GB" w:eastAsia="ja-JP"/>
              </w:rPr>
              <w:t xml:space="preserve"> 1套；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0"/>
                <w:lang w:val="en-GB" w:eastAsia="ja-JP"/>
              </w:rPr>
              <w:br w:type="textWrapping"/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0"/>
              </w:rPr>
              <w:t>4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0"/>
                <w:lang w:val="en-GB"/>
              </w:rPr>
              <w:t>.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0"/>
                <w:lang w:val="en-GB" w:eastAsia="ja-JP"/>
              </w:rPr>
              <w:t>1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0"/>
                <w:lang w:val="en-GB"/>
              </w:rPr>
              <w:t>2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0"/>
                <w:lang w:val="en-GB" w:eastAsia="ja-JP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0"/>
                <w:lang w:val="en-GB"/>
              </w:rPr>
              <w:t>、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0"/>
                <w:lang w:val="en-GB" w:eastAsia="ja-JP"/>
              </w:rPr>
              <w:t>ICP-MS 操作软件1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0"/>
                <w:lang w:val="en-GB"/>
              </w:rPr>
              <w:t>套，光盘1张（含理论知识和操作维护视频等）</w:t>
            </w:r>
          </w:p>
          <w:p w14:paraId="36BDE306">
            <w:pPr>
              <w:spacing w:line="360" w:lineRule="auto"/>
              <w:rPr>
                <w:rFonts w:ascii="宋体" w:hAnsi="宋体" w:eastAsia="宋体" w:cs="宋体"/>
                <w:bCs/>
                <w:color w:val="000000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0"/>
              </w:rPr>
              <w:t>4.13 、氦气钢瓶及减压阀1套</w:t>
            </w:r>
          </w:p>
          <w:p w14:paraId="2DBB1D6F">
            <w:pPr>
              <w:spacing w:line="360" w:lineRule="auto"/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0"/>
              </w:rPr>
              <w:t>4.14 、超纯水机（电阻率≥18.2MΩ，产水量≥18L/h）1台。</w:t>
            </w:r>
          </w:p>
        </w:tc>
      </w:tr>
    </w:tbl>
    <w:p w14:paraId="003CBF35">
      <w:pPr>
        <w:spacing w:line="360" w:lineRule="auto"/>
        <w:rPr>
          <w:color w:val="FF0000"/>
        </w:rPr>
      </w:pPr>
    </w:p>
    <w:sectPr>
      <w:headerReference r:id="rId3" w:type="default"/>
      <w:footerReference r:id="rId4" w:type="default"/>
      <w:footerReference r:id="rId5" w:type="even"/>
      <w:pgSz w:w="16838" w:h="11906" w:orient="landscape"/>
      <w:pgMar w:top="1389" w:right="1701" w:bottom="136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CD1A05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C73D7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6C73D7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3DC28F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776C5D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776C5D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B87680"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4DD2FF"/>
    <w:multiLevelType w:val="singleLevel"/>
    <w:tmpl w:val="D84DD2FF"/>
    <w:lvl w:ilvl="0" w:tentative="0">
      <w:start w:val="6"/>
      <w:numFmt w:val="decimal"/>
      <w:suff w:val="nothing"/>
      <w:lvlText w:val="%1、"/>
      <w:lvlJc w:val="left"/>
    </w:lvl>
  </w:abstractNum>
  <w:abstractNum w:abstractNumId="1">
    <w:nsid w:val="54515382"/>
    <w:multiLevelType w:val="singleLevel"/>
    <w:tmpl w:val="5451538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0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xODRkZTkzMzcxYzlkZTlhODQ0YTE1M2I5NzViNTYifQ=="/>
  </w:docVars>
  <w:rsids>
    <w:rsidRoot w:val="0030106B"/>
    <w:rsid w:val="00000698"/>
    <w:rsid w:val="000011A5"/>
    <w:rsid w:val="00003CA9"/>
    <w:rsid w:val="00010BF1"/>
    <w:rsid w:val="00023BDD"/>
    <w:rsid w:val="00024D0A"/>
    <w:rsid w:val="00030CB2"/>
    <w:rsid w:val="0004030A"/>
    <w:rsid w:val="00041346"/>
    <w:rsid w:val="00053AFD"/>
    <w:rsid w:val="00057C84"/>
    <w:rsid w:val="00074B50"/>
    <w:rsid w:val="00082A58"/>
    <w:rsid w:val="000907CF"/>
    <w:rsid w:val="00091335"/>
    <w:rsid w:val="000B39FD"/>
    <w:rsid w:val="000B42FA"/>
    <w:rsid w:val="000B5AE0"/>
    <w:rsid w:val="000B6345"/>
    <w:rsid w:val="000B63B4"/>
    <w:rsid w:val="000B7901"/>
    <w:rsid w:val="000C000F"/>
    <w:rsid w:val="000C39BB"/>
    <w:rsid w:val="000D0EB2"/>
    <w:rsid w:val="000D4ADE"/>
    <w:rsid w:val="000D7BD7"/>
    <w:rsid w:val="000E5582"/>
    <w:rsid w:val="00101919"/>
    <w:rsid w:val="00105EB8"/>
    <w:rsid w:val="0010654E"/>
    <w:rsid w:val="001139C2"/>
    <w:rsid w:val="00115C13"/>
    <w:rsid w:val="0012051F"/>
    <w:rsid w:val="00121ED2"/>
    <w:rsid w:val="001327F4"/>
    <w:rsid w:val="00137A95"/>
    <w:rsid w:val="001431C5"/>
    <w:rsid w:val="001558BB"/>
    <w:rsid w:val="00161377"/>
    <w:rsid w:val="001640FF"/>
    <w:rsid w:val="0018274C"/>
    <w:rsid w:val="00185DB9"/>
    <w:rsid w:val="001A356B"/>
    <w:rsid w:val="001A75DA"/>
    <w:rsid w:val="001B3C20"/>
    <w:rsid w:val="001B446C"/>
    <w:rsid w:val="001B75A4"/>
    <w:rsid w:val="001C6A57"/>
    <w:rsid w:val="001D4B6A"/>
    <w:rsid w:val="001D7AA6"/>
    <w:rsid w:val="001F28D0"/>
    <w:rsid w:val="00204073"/>
    <w:rsid w:val="0020584D"/>
    <w:rsid w:val="00206E9A"/>
    <w:rsid w:val="002171BF"/>
    <w:rsid w:val="00227709"/>
    <w:rsid w:val="0023368B"/>
    <w:rsid w:val="00234448"/>
    <w:rsid w:val="002424C6"/>
    <w:rsid w:val="00245D1C"/>
    <w:rsid w:val="002474B6"/>
    <w:rsid w:val="00255F71"/>
    <w:rsid w:val="00256960"/>
    <w:rsid w:val="00280711"/>
    <w:rsid w:val="00281884"/>
    <w:rsid w:val="00294097"/>
    <w:rsid w:val="0029418C"/>
    <w:rsid w:val="002943CB"/>
    <w:rsid w:val="00295ECF"/>
    <w:rsid w:val="002A0169"/>
    <w:rsid w:val="002A0F48"/>
    <w:rsid w:val="002A2CD7"/>
    <w:rsid w:val="002A51E4"/>
    <w:rsid w:val="002A5A75"/>
    <w:rsid w:val="002A5DBC"/>
    <w:rsid w:val="002A65D9"/>
    <w:rsid w:val="002B2AAE"/>
    <w:rsid w:val="002C1253"/>
    <w:rsid w:val="002C6BC7"/>
    <w:rsid w:val="002D08D1"/>
    <w:rsid w:val="002D15BB"/>
    <w:rsid w:val="002E1703"/>
    <w:rsid w:val="0030106B"/>
    <w:rsid w:val="00303D8C"/>
    <w:rsid w:val="0030567C"/>
    <w:rsid w:val="00311A58"/>
    <w:rsid w:val="00313BCD"/>
    <w:rsid w:val="00321509"/>
    <w:rsid w:val="003233D3"/>
    <w:rsid w:val="00332B69"/>
    <w:rsid w:val="003336D7"/>
    <w:rsid w:val="0033419E"/>
    <w:rsid w:val="00341B76"/>
    <w:rsid w:val="00341D2E"/>
    <w:rsid w:val="00346900"/>
    <w:rsid w:val="00363E08"/>
    <w:rsid w:val="0036611E"/>
    <w:rsid w:val="00372D39"/>
    <w:rsid w:val="00373383"/>
    <w:rsid w:val="0037562E"/>
    <w:rsid w:val="00385BF9"/>
    <w:rsid w:val="00395696"/>
    <w:rsid w:val="00397CCF"/>
    <w:rsid w:val="003A0AAC"/>
    <w:rsid w:val="003A37D8"/>
    <w:rsid w:val="003A5CDE"/>
    <w:rsid w:val="003A6D15"/>
    <w:rsid w:val="003A708B"/>
    <w:rsid w:val="003B067A"/>
    <w:rsid w:val="003B26C0"/>
    <w:rsid w:val="003B4425"/>
    <w:rsid w:val="003E27D8"/>
    <w:rsid w:val="003E2DEF"/>
    <w:rsid w:val="00406DEA"/>
    <w:rsid w:val="00426BA3"/>
    <w:rsid w:val="00432A36"/>
    <w:rsid w:val="004357E2"/>
    <w:rsid w:val="00440ACF"/>
    <w:rsid w:val="00477CE5"/>
    <w:rsid w:val="004804E6"/>
    <w:rsid w:val="00480711"/>
    <w:rsid w:val="00486DEB"/>
    <w:rsid w:val="00491A3E"/>
    <w:rsid w:val="00495E6D"/>
    <w:rsid w:val="004A01C4"/>
    <w:rsid w:val="004A4505"/>
    <w:rsid w:val="004A7884"/>
    <w:rsid w:val="004B090D"/>
    <w:rsid w:val="004B4F03"/>
    <w:rsid w:val="004C2305"/>
    <w:rsid w:val="004D5768"/>
    <w:rsid w:val="004E5D20"/>
    <w:rsid w:val="004E6E86"/>
    <w:rsid w:val="004E7557"/>
    <w:rsid w:val="004F1926"/>
    <w:rsid w:val="004F7B84"/>
    <w:rsid w:val="005050A2"/>
    <w:rsid w:val="005258EA"/>
    <w:rsid w:val="00525A72"/>
    <w:rsid w:val="0052734A"/>
    <w:rsid w:val="0052744F"/>
    <w:rsid w:val="00530B6C"/>
    <w:rsid w:val="00532E4E"/>
    <w:rsid w:val="0054053F"/>
    <w:rsid w:val="00545EA5"/>
    <w:rsid w:val="0055075F"/>
    <w:rsid w:val="00550D46"/>
    <w:rsid w:val="00557005"/>
    <w:rsid w:val="00560C0C"/>
    <w:rsid w:val="0056787B"/>
    <w:rsid w:val="00572C05"/>
    <w:rsid w:val="00582A71"/>
    <w:rsid w:val="00596DC2"/>
    <w:rsid w:val="005A2704"/>
    <w:rsid w:val="005C22DF"/>
    <w:rsid w:val="005C4C4D"/>
    <w:rsid w:val="005D17E8"/>
    <w:rsid w:val="005D2281"/>
    <w:rsid w:val="005E3BEE"/>
    <w:rsid w:val="00601332"/>
    <w:rsid w:val="00603667"/>
    <w:rsid w:val="00620304"/>
    <w:rsid w:val="00627B0B"/>
    <w:rsid w:val="006426FD"/>
    <w:rsid w:val="00647C24"/>
    <w:rsid w:val="00650317"/>
    <w:rsid w:val="00652295"/>
    <w:rsid w:val="006654F4"/>
    <w:rsid w:val="00670318"/>
    <w:rsid w:val="006816AE"/>
    <w:rsid w:val="0068173B"/>
    <w:rsid w:val="00682C78"/>
    <w:rsid w:val="006834D4"/>
    <w:rsid w:val="006838BA"/>
    <w:rsid w:val="00685EE4"/>
    <w:rsid w:val="006864EA"/>
    <w:rsid w:val="00692D28"/>
    <w:rsid w:val="006940F8"/>
    <w:rsid w:val="006A6358"/>
    <w:rsid w:val="006B68D2"/>
    <w:rsid w:val="006C1D30"/>
    <w:rsid w:val="006C3692"/>
    <w:rsid w:val="006C6460"/>
    <w:rsid w:val="006D0C46"/>
    <w:rsid w:val="006D24E1"/>
    <w:rsid w:val="006E69AD"/>
    <w:rsid w:val="006F59CE"/>
    <w:rsid w:val="006F7788"/>
    <w:rsid w:val="0070377B"/>
    <w:rsid w:val="00704BDA"/>
    <w:rsid w:val="00713A03"/>
    <w:rsid w:val="00716F55"/>
    <w:rsid w:val="00721EC4"/>
    <w:rsid w:val="0072358F"/>
    <w:rsid w:val="00724798"/>
    <w:rsid w:val="00732866"/>
    <w:rsid w:val="0073541C"/>
    <w:rsid w:val="00742B06"/>
    <w:rsid w:val="00744850"/>
    <w:rsid w:val="00745D19"/>
    <w:rsid w:val="0074770C"/>
    <w:rsid w:val="00747780"/>
    <w:rsid w:val="00754EFB"/>
    <w:rsid w:val="00757933"/>
    <w:rsid w:val="0076516B"/>
    <w:rsid w:val="00775034"/>
    <w:rsid w:val="00775D4A"/>
    <w:rsid w:val="00776C9F"/>
    <w:rsid w:val="0078259D"/>
    <w:rsid w:val="00792D2E"/>
    <w:rsid w:val="00793EC7"/>
    <w:rsid w:val="0079517B"/>
    <w:rsid w:val="007A3274"/>
    <w:rsid w:val="007A3969"/>
    <w:rsid w:val="007B02AC"/>
    <w:rsid w:val="007B39EC"/>
    <w:rsid w:val="007B538D"/>
    <w:rsid w:val="007B6CD5"/>
    <w:rsid w:val="007C1D74"/>
    <w:rsid w:val="007C3FE7"/>
    <w:rsid w:val="007D5A2D"/>
    <w:rsid w:val="007D6D43"/>
    <w:rsid w:val="007D7B4C"/>
    <w:rsid w:val="007E251F"/>
    <w:rsid w:val="007F5B17"/>
    <w:rsid w:val="00806C4C"/>
    <w:rsid w:val="00806ED7"/>
    <w:rsid w:val="00816668"/>
    <w:rsid w:val="0082494B"/>
    <w:rsid w:val="00827280"/>
    <w:rsid w:val="00832BE9"/>
    <w:rsid w:val="0085115F"/>
    <w:rsid w:val="00851568"/>
    <w:rsid w:val="008557C6"/>
    <w:rsid w:val="00863B7A"/>
    <w:rsid w:val="00865B33"/>
    <w:rsid w:val="008725A4"/>
    <w:rsid w:val="008773EE"/>
    <w:rsid w:val="00885A35"/>
    <w:rsid w:val="008943C8"/>
    <w:rsid w:val="008B2331"/>
    <w:rsid w:val="008C1369"/>
    <w:rsid w:val="008D0665"/>
    <w:rsid w:val="008D429B"/>
    <w:rsid w:val="008E3E61"/>
    <w:rsid w:val="008E6363"/>
    <w:rsid w:val="008E6A71"/>
    <w:rsid w:val="008E7A37"/>
    <w:rsid w:val="008F234F"/>
    <w:rsid w:val="00912392"/>
    <w:rsid w:val="009174BB"/>
    <w:rsid w:val="0092478F"/>
    <w:rsid w:val="00925FC9"/>
    <w:rsid w:val="009331FD"/>
    <w:rsid w:val="009333AA"/>
    <w:rsid w:val="00934E05"/>
    <w:rsid w:val="00935891"/>
    <w:rsid w:val="00940044"/>
    <w:rsid w:val="0094249D"/>
    <w:rsid w:val="00945FB0"/>
    <w:rsid w:val="009470BA"/>
    <w:rsid w:val="00950CDE"/>
    <w:rsid w:val="00960496"/>
    <w:rsid w:val="009613A2"/>
    <w:rsid w:val="00961EA2"/>
    <w:rsid w:val="00971000"/>
    <w:rsid w:val="0097497E"/>
    <w:rsid w:val="00975C5B"/>
    <w:rsid w:val="00976677"/>
    <w:rsid w:val="009818A0"/>
    <w:rsid w:val="009954C9"/>
    <w:rsid w:val="009A2231"/>
    <w:rsid w:val="009A31DA"/>
    <w:rsid w:val="009A74AD"/>
    <w:rsid w:val="009B74D4"/>
    <w:rsid w:val="009C5CD8"/>
    <w:rsid w:val="009D120F"/>
    <w:rsid w:val="009D7338"/>
    <w:rsid w:val="009E042D"/>
    <w:rsid w:val="009E0DFB"/>
    <w:rsid w:val="009F09A1"/>
    <w:rsid w:val="009F0AD2"/>
    <w:rsid w:val="009F62E4"/>
    <w:rsid w:val="00A02722"/>
    <w:rsid w:val="00A27C51"/>
    <w:rsid w:val="00A33158"/>
    <w:rsid w:val="00A3727E"/>
    <w:rsid w:val="00A51941"/>
    <w:rsid w:val="00A618DD"/>
    <w:rsid w:val="00A914B8"/>
    <w:rsid w:val="00AA02A0"/>
    <w:rsid w:val="00AA039E"/>
    <w:rsid w:val="00AA0D27"/>
    <w:rsid w:val="00AA5010"/>
    <w:rsid w:val="00AA66E2"/>
    <w:rsid w:val="00AB69C2"/>
    <w:rsid w:val="00AC64BC"/>
    <w:rsid w:val="00AD23B5"/>
    <w:rsid w:val="00AF462B"/>
    <w:rsid w:val="00AF7C1B"/>
    <w:rsid w:val="00B0192D"/>
    <w:rsid w:val="00B04228"/>
    <w:rsid w:val="00B0594F"/>
    <w:rsid w:val="00B17AA9"/>
    <w:rsid w:val="00B26D30"/>
    <w:rsid w:val="00B27A3A"/>
    <w:rsid w:val="00B3348B"/>
    <w:rsid w:val="00B36F31"/>
    <w:rsid w:val="00B3721E"/>
    <w:rsid w:val="00B429F9"/>
    <w:rsid w:val="00B44D3C"/>
    <w:rsid w:val="00B52045"/>
    <w:rsid w:val="00B540E1"/>
    <w:rsid w:val="00B615BD"/>
    <w:rsid w:val="00B6319E"/>
    <w:rsid w:val="00B95657"/>
    <w:rsid w:val="00BA39F3"/>
    <w:rsid w:val="00BA5EA9"/>
    <w:rsid w:val="00BB2B98"/>
    <w:rsid w:val="00BC3F97"/>
    <w:rsid w:val="00BD3C3A"/>
    <w:rsid w:val="00BD4CB1"/>
    <w:rsid w:val="00BE1DD2"/>
    <w:rsid w:val="00BE2640"/>
    <w:rsid w:val="00BF0B6A"/>
    <w:rsid w:val="00BF44E3"/>
    <w:rsid w:val="00BF4CE2"/>
    <w:rsid w:val="00BF650C"/>
    <w:rsid w:val="00C071E5"/>
    <w:rsid w:val="00C268F5"/>
    <w:rsid w:val="00C26C4C"/>
    <w:rsid w:val="00C359CA"/>
    <w:rsid w:val="00C552F0"/>
    <w:rsid w:val="00C61367"/>
    <w:rsid w:val="00C61F89"/>
    <w:rsid w:val="00C66936"/>
    <w:rsid w:val="00C82A0C"/>
    <w:rsid w:val="00C847C1"/>
    <w:rsid w:val="00C8492F"/>
    <w:rsid w:val="00CA61CA"/>
    <w:rsid w:val="00CA6C28"/>
    <w:rsid w:val="00CB65A6"/>
    <w:rsid w:val="00CB78AC"/>
    <w:rsid w:val="00CC1069"/>
    <w:rsid w:val="00CC773F"/>
    <w:rsid w:val="00CD14BA"/>
    <w:rsid w:val="00CE6BB8"/>
    <w:rsid w:val="00CF1935"/>
    <w:rsid w:val="00CF4152"/>
    <w:rsid w:val="00D00608"/>
    <w:rsid w:val="00D074CA"/>
    <w:rsid w:val="00D16306"/>
    <w:rsid w:val="00D40704"/>
    <w:rsid w:val="00D67C46"/>
    <w:rsid w:val="00D80FFC"/>
    <w:rsid w:val="00D85451"/>
    <w:rsid w:val="00D87325"/>
    <w:rsid w:val="00DA7B71"/>
    <w:rsid w:val="00DB0852"/>
    <w:rsid w:val="00DB1DFA"/>
    <w:rsid w:val="00DB3DAB"/>
    <w:rsid w:val="00DC18FC"/>
    <w:rsid w:val="00DD5595"/>
    <w:rsid w:val="00DE3F34"/>
    <w:rsid w:val="00DF2BCC"/>
    <w:rsid w:val="00E05C4C"/>
    <w:rsid w:val="00E065DD"/>
    <w:rsid w:val="00E06926"/>
    <w:rsid w:val="00E076D8"/>
    <w:rsid w:val="00E15248"/>
    <w:rsid w:val="00E153F9"/>
    <w:rsid w:val="00E156A1"/>
    <w:rsid w:val="00E1779E"/>
    <w:rsid w:val="00E3729F"/>
    <w:rsid w:val="00E439CC"/>
    <w:rsid w:val="00E45A91"/>
    <w:rsid w:val="00E510C7"/>
    <w:rsid w:val="00E6365E"/>
    <w:rsid w:val="00E650E1"/>
    <w:rsid w:val="00E664A1"/>
    <w:rsid w:val="00E7103A"/>
    <w:rsid w:val="00E73768"/>
    <w:rsid w:val="00E918BF"/>
    <w:rsid w:val="00EB0721"/>
    <w:rsid w:val="00EB255F"/>
    <w:rsid w:val="00EB58B9"/>
    <w:rsid w:val="00EB5ACD"/>
    <w:rsid w:val="00EB7248"/>
    <w:rsid w:val="00ED2D29"/>
    <w:rsid w:val="00ED30F2"/>
    <w:rsid w:val="00ED65CD"/>
    <w:rsid w:val="00ED7165"/>
    <w:rsid w:val="00F0101A"/>
    <w:rsid w:val="00F04198"/>
    <w:rsid w:val="00F066DB"/>
    <w:rsid w:val="00F06D4D"/>
    <w:rsid w:val="00F216D6"/>
    <w:rsid w:val="00F2235A"/>
    <w:rsid w:val="00F36B28"/>
    <w:rsid w:val="00F54108"/>
    <w:rsid w:val="00F558B8"/>
    <w:rsid w:val="00F67A51"/>
    <w:rsid w:val="00F70B6F"/>
    <w:rsid w:val="00F80F36"/>
    <w:rsid w:val="00F81E7C"/>
    <w:rsid w:val="00FA7BC0"/>
    <w:rsid w:val="00FB5D64"/>
    <w:rsid w:val="00FB6BEB"/>
    <w:rsid w:val="00FC3B73"/>
    <w:rsid w:val="00FD2F45"/>
    <w:rsid w:val="00FD7D2F"/>
    <w:rsid w:val="00FE199A"/>
    <w:rsid w:val="00FE269F"/>
    <w:rsid w:val="00FE2F98"/>
    <w:rsid w:val="00FE6C01"/>
    <w:rsid w:val="012F2443"/>
    <w:rsid w:val="01825488"/>
    <w:rsid w:val="018C0E03"/>
    <w:rsid w:val="01BA61B0"/>
    <w:rsid w:val="01BB516D"/>
    <w:rsid w:val="021B4775"/>
    <w:rsid w:val="026954E1"/>
    <w:rsid w:val="02BA0F2C"/>
    <w:rsid w:val="037979A5"/>
    <w:rsid w:val="03CB3F9B"/>
    <w:rsid w:val="03D42F29"/>
    <w:rsid w:val="03E47515"/>
    <w:rsid w:val="045521C0"/>
    <w:rsid w:val="049814E0"/>
    <w:rsid w:val="053B0618"/>
    <w:rsid w:val="05672E13"/>
    <w:rsid w:val="057C19CF"/>
    <w:rsid w:val="05B52156"/>
    <w:rsid w:val="05DB7E97"/>
    <w:rsid w:val="06836769"/>
    <w:rsid w:val="06EA0626"/>
    <w:rsid w:val="06ED06D9"/>
    <w:rsid w:val="088A7F5F"/>
    <w:rsid w:val="089A4646"/>
    <w:rsid w:val="08A95854"/>
    <w:rsid w:val="08BD7FAD"/>
    <w:rsid w:val="08CF6958"/>
    <w:rsid w:val="090827CD"/>
    <w:rsid w:val="09D81E8C"/>
    <w:rsid w:val="0A0F696E"/>
    <w:rsid w:val="0A1102E2"/>
    <w:rsid w:val="0A480B9C"/>
    <w:rsid w:val="0B4524FB"/>
    <w:rsid w:val="0BE5112D"/>
    <w:rsid w:val="0BF57DE5"/>
    <w:rsid w:val="0C470F50"/>
    <w:rsid w:val="0C5E57C4"/>
    <w:rsid w:val="0C616C82"/>
    <w:rsid w:val="0C676F35"/>
    <w:rsid w:val="0D354400"/>
    <w:rsid w:val="0D742563"/>
    <w:rsid w:val="0DDE4FD5"/>
    <w:rsid w:val="0E3A4297"/>
    <w:rsid w:val="0E527771"/>
    <w:rsid w:val="0E963B01"/>
    <w:rsid w:val="0EA855E3"/>
    <w:rsid w:val="0EB06D04"/>
    <w:rsid w:val="0EE77A81"/>
    <w:rsid w:val="0F220B1B"/>
    <w:rsid w:val="0F2664F6"/>
    <w:rsid w:val="0F277E39"/>
    <w:rsid w:val="0F824086"/>
    <w:rsid w:val="0FE268D2"/>
    <w:rsid w:val="103510F8"/>
    <w:rsid w:val="10686DD7"/>
    <w:rsid w:val="107365F0"/>
    <w:rsid w:val="107B2A34"/>
    <w:rsid w:val="1109680C"/>
    <w:rsid w:val="11296A34"/>
    <w:rsid w:val="117774DD"/>
    <w:rsid w:val="11D16BFE"/>
    <w:rsid w:val="12151156"/>
    <w:rsid w:val="12371157"/>
    <w:rsid w:val="128F4AEF"/>
    <w:rsid w:val="1293615E"/>
    <w:rsid w:val="137D5290"/>
    <w:rsid w:val="13983E78"/>
    <w:rsid w:val="143815AA"/>
    <w:rsid w:val="14401B9A"/>
    <w:rsid w:val="14E45A3A"/>
    <w:rsid w:val="14E86739"/>
    <w:rsid w:val="14F00C9E"/>
    <w:rsid w:val="151A4A2D"/>
    <w:rsid w:val="159B7C4F"/>
    <w:rsid w:val="15BD5E17"/>
    <w:rsid w:val="160C46A9"/>
    <w:rsid w:val="165A3666"/>
    <w:rsid w:val="16F45869"/>
    <w:rsid w:val="174707F2"/>
    <w:rsid w:val="1773377D"/>
    <w:rsid w:val="18DE360D"/>
    <w:rsid w:val="19807C1E"/>
    <w:rsid w:val="19AF1F1B"/>
    <w:rsid w:val="19C534ED"/>
    <w:rsid w:val="1A676352"/>
    <w:rsid w:val="1B1B78AF"/>
    <w:rsid w:val="1B776A68"/>
    <w:rsid w:val="1BA7347C"/>
    <w:rsid w:val="1BCB46BE"/>
    <w:rsid w:val="1C0C42AF"/>
    <w:rsid w:val="1C2370E7"/>
    <w:rsid w:val="1C9D605B"/>
    <w:rsid w:val="1CD6156D"/>
    <w:rsid w:val="1DD27F86"/>
    <w:rsid w:val="1F2B35EE"/>
    <w:rsid w:val="20250841"/>
    <w:rsid w:val="212E7BC9"/>
    <w:rsid w:val="21FA7AAB"/>
    <w:rsid w:val="22566075"/>
    <w:rsid w:val="2291000C"/>
    <w:rsid w:val="22E63BAE"/>
    <w:rsid w:val="23737B15"/>
    <w:rsid w:val="25140F7F"/>
    <w:rsid w:val="25761B3F"/>
    <w:rsid w:val="272C6959"/>
    <w:rsid w:val="276460F3"/>
    <w:rsid w:val="27BB03A7"/>
    <w:rsid w:val="27F616E4"/>
    <w:rsid w:val="28EF7C3E"/>
    <w:rsid w:val="29114058"/>
    <w:rsid w:val="29224275"/>
    <w:rsid w:val="29657F00"/>
    <w:rsid w:val="296A1CA7"/>
    <w:rsid w:val="29D4444C"/>
    <w:rsid w:val="29D924F1"/>
    <w:rsid w:val="29F01EC0"/>
    <w:rsid w:val="2A1536D4"/>
    <w:rsid w:val="2B3B53BD"/>
    <w:rsid w:val="2BB60EE7"/>
    <w:rsid w:val="2BE32FF5"/>
    <w:rsid w:val="2BEC6A86"/>
    <w:rsid w:val="2C932FD6"/>
    <w:rsid w:val="2CBC6D61"/>
    <w:rsid w:val="2D4542D1"/>
    <w:rsid w:val="2DE7410E"/>
    <w:rsid w:val="2EBC4560"/>
    <w:rsid w:val="2F372E8E"/>
    <w:rsid w:val="2F792957"/>
    <w:rsid w:val="2F9C6646"/>
    <w:rsid w:val="2FEA7A4C"/>
    <w:rsid w:val="30AB223A"/>
    <w:rsid w:val="30BA4FD6"/>
    <w:rsid w:val="31104BF6"/>
    <w:rsid w:val="31523460"/>
    <w:rsid w:val="31684A32"/>
    <w:rsid w:val="31A35A6A"/>
    <w:rsid w:val="31DB583A"/>
    <w:rsid w:val="33370B5F"/>
    <w:rsid w:val="333C43C8"/>
    <w:rsid w:val="33941B0E"/>
    <w:rsid w:val="34140EA1"/>
    <w:rsid w:val="35154ED0"/>
    <w:rsid w:val="353A4937"/>
    <w:rsid w:val="35D5640E"/>
    <w:rsid w:val="361D67FF"/>
    <w:rsid w:val="36FD6C55"/>
    <w:rsid w:val="37621F23"/>
    <w:rsid w:val="37BF6F64"/>
    <w:rsid w:val="37D42E21"/>
    <w:rsid w:val="3836588A"/>
    <w:rsid w:val="38606463"/>
    <w:rsid w:val="38B14F10"/>
    <w:rsid w:val="38C74734"/>
    <w:rsid w:val="393C6ED0"/>
    <w:rsid w:val="39B5458C"/>
    <w:rsid w:val="3A934624"/>
    <w:rsid w:val="3AAF3FCD"/>
    <w:rsid w:val="3ACF72AE"/>
    <w:rsid w:val="3B190B4B"/>
    <w:rsid w:val="3B6E0E96"/>
    <w:rsid w:val="3B844B5E"/>
    <w:rsid w:val="3BCD18ED"/>
    <w:rsid w:val="3C047A4D"/>
    <w:rsid w:val="3CB71834"/>
    <w:rsid w:val="3D8240D2"/>
    <w:rsid w:val="3E3948A1"/>
    <w:rsid w:val="3EC05EAD"/>
    <w:rsid w:val="3F367F1D"/>
    <w:rsid w:val="3F674CB6"/>
    <w:rsid w:val="3FCC6AD3"/>
    <w:rsid w:val="41200E85"/>
    <w:rsid w:val="41432DC5"/>
    <w:rsid w:val="41E974C9"/>
    <w:rsid w:val="42162288"/>
    <w:rsid w:val="437600FE"/>
    <w:rsid w:val="43A538C3"/>
    <w:rsid w:val="443864E5"/>
    <w:rsid w:val="44B0237A"/>
    <w:rsid w:val="44CB1108"/>
    <w:rsid w:val="44EB79FC"/>
    <w:rsid w:val="4538077D"/>
    <w:rsid w:val="4556401B"/>
    <w:rsid w:val="468C14EB"/>
    <w:rsid w:val="46E1485D"/>
    <w:rsid w:val="46E22739"/>
    <w:rsid w:val="46F33CD1"/>
    <w:rsid w:val="47590C4D"/>
    <w:rsid w:val="47743CD8"/>
    <w:rsid w:val="47A94056"/>
    <w:rsid w:val="480F1C53"/>
    <w:rsid w:val="482E032B"/>
    <w:rsid w:val="485D3817"/>
    <w:rsid w:val="486C0E54"/>
    <w:rsid w:val="487216E8"/>
    <w:rsid w:val="492F0B49"/>
    <w:rsid w:val="4A3414FD"/>
    <w:rsid w:val="4AD44F71"/>
    <w:rsid w:val="4AE03433"/>
    <w:rsid w:val="4B685203"/>
    <w:rsid w:val="4D0C49B3"/>
    <w:rsid w:val="4D703FFF"/>
    <w:rsid w:val="4E6D3574"/>
    <w:rsid w:val="4E8011B5"/>
    <w:rsid w:val="4F0771E0"/>
    <w:rsid w:val="4F2F3FA1"/>
    <w:rsid w:val="4F624D5E"/>
    <w:rsid w:val="4F674123"/>
    <w:rsid w:val="4FF82FCD"/>
    <w:rsid w:val="50146059"/>
    <w:rsid w:val="50441F68"/>
    <w:rsid w:val="50746AF7"/>
    <w:rsid w:val="51022355"/>
    <w:rsid w:val="51112598"/>
    <w:rsid w:val="51750D79"/>
    <w:rsid w:val="51F53C68"/>
    <w:rsid w:val="53C05F5A"/>
    <w:rsid w:val="541008E5"/>
    <w:rsid w:val="54216F96"/>
    <w:rsid w:val="5471046A"/>
    <w:rsid w:val="54FC355F"/>
    <w:rsid w:val="55597ADB"/>
    <w:rsid w:val="56625644"/>
    <w:rsid w:val="570E431B"/>
    <w:rsid w:val="573009E7"/>
    <w:rsid w:val="573174F0"/>
    <w:rsid w:val="57AE6D93"/>
    <w:rsid w:val="57DB161B"/>
    <w:rsid w:val="582B090E"/>
    <w:rsid w:val="584512B8"/>
    <w:rsid w:val="58D345D7"/>
    <w:rsid w:val="59A0095D"/>
    <w:rsid w:val="59B166C6"/>
    <w:rsid w:val="59D23552"/>
    <w:rsid w:val="5A7D47FA"/>
    <w:rsid w:val="5AB87F28"/>
    <w:rsid w:val="5B61191C"/>
    <w:rsid w:val="5B750AF9"/>
    <w:rsid w:val="5B9462A0"/>
    <w:rsid w:val="5C2C472A"/>
    <w:rsid w:val="5C6043D4"/>
    <w:rsid w:val="5C841E70"/>
    <w:rsid w:val="5CAB1AF3"/>
    <w:rsid w:val="5E1C691D"/>
    <w:rsid w:val="5E5D6E1D"/>
    <w:rsid w:val="5F816B3B"/>
    <w:rsid w:val="600608C4"/>
    <w:rsid w:val="60067040"/>
    <w:rsid w:val="604D0DD3"/>
    <w:rsid w:val="607945BC"/>
    <w:rsid w:val="607E4D2A"/>
    <w:rsid w:val="60844B35"/>
    <w:rsid w:val="609B3C2C"/>
    <w:rsid w:val="617050B9"/>
    <w:rsid w:val="61D145ED"/>
    <w:rsid w:val="61D20F2B"/>
    <w:rsid w:val="62137B25"/>
    <w:rsid w:val="627110E9"/>
    <w:rsid w:val="628C5F22"/>
    <w:rsid w:val="6292739D"/>
    <w:rsid w:val="62D376AD"/>
    <w:rsid w:val="62E03578"/>
    <w:rsid w:val="63414F5F"/>
    <w:rsid w:val="637160AB"/>
    <w:rsid w:val="63BC6393"/>
    <w:rsid w:val="64882719"/>
    <w:rsid w:val="65BC6B1F"/>
    <w:rsid w:val="65E44D4C"/>
    <w:rsid w:val="65F067C8"/>
    <w:rsid w:val="65F76563"/>
    <w:rsid w:val="66291CDA"/>
    <w:rsid w:val="668D6ECC"/>
    <w:rsid w:val="66A355E9"/>
    <w:rsid w:val="66D165FA"/>
    <w:rsid w:val="675B4B07"/>
    <w:rsid w:val="677376B1"/>
    <w:rsid w:val="679B2764"/>
    <w:rsid w:val="691722BE"/>
    <w:rsid w:val="69BC750D"/>
    <w:rsid w:val="69E7708D"/>
    <w:rsid w:val="6A415844"/>
    <w:rsid w:val="6B3929BF"/>
    <w:rsid w:val="6C3F65B3"/>
    <w:rsid w:val="6C9F2CF6"/>
    <w:rsid w:val="6E006A52"/>
    <w:rsid w:val="6EA939B8"/>
    <w:rsid w:val="6F5F177E"/>
    <w:rsid w:val="6F865AA7"/>
    <w:rsid w:val="6FD97A1B"/>
    <w:rsid w:val="6FE32EFA"/>
    <w:rsid w:val="709E186B"/>
    <w:rsid w:val="70A1703D"/>
    <w:rsid w:val="70AF61D1"/>
    <w:rsid w:val="70CB21E7"/>
    <w:rsid w:val="70FA499F"/>
    <w:rsid w:val="714479C8"/>
    <w:rsid w:val="714D7E5F"/>
    <w:rsid w:val="716F713B"/>
    <w:rsid w:val="71D2534C"/>
    <w:rsid w:val="72DD6326"/>
    <w:rsid w:val="732E23F9"/>
    <w:rsid w:val="746D19CA"/>
    <w:rsid w:val="74D10EC7"/>
    <w:rsid w:val="757E170D"/>
    <w:rsid w:val="75970A0E"/>
    <w:rsid w:val="75DE3F93"/>
    <w:rsid w:val="76236746"/>
    <w:rsid w:val="76317F9B"/>
    <w:rsid w:val="76375D4D"/>
    <w:rsid w:val="76B86E8E"/>
    <w:rsid w:val="76EF1997"/>
    <w:rsid w:val="76FD6F97"/>
    <w:rsid w:val="770D4C48"/>
    <w:rsid w:val="77534E09"/>
    <w:rsid w:val="77F43101"/>
    <w:rsid w:val="78085BF3"/>
    <w:rsid w:val="7856695F"/>
    <w:rsid w:val="79314CD6"/>
    <w:rsid w:val="794C38BE"/>
    <w:rsid w:val="79996046"/>
    <w:rsid w:val="7AEA5A84"/>
    <w:rsid w:val="7B256ABC"/>
    <w:rsid w:val="7B79577B"/>
    <w:rsid w:val="7CE56BFB"/>
    <w:rsid w:val="7CFE1373"/>
    <w:rsid w:val="7D637428"/>
    <w:rsid w:val="7D80447E"/>
    <w:rsid w:val="7DB55ED6"/>
    <w:rsid w:val="7E0A649D"/>
    <w:rsid w:val="7EF97CE5"/>
    <w:rsid w:val="7EFE1AFE"/>
    <w:rsid w:val="7F2D4191"/>
    <w:rsid w:val="7FA6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qFormat="1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仿宋_GB2312" w:hAnsi="Times New Roman" w:eastAsia="仿宋_GB2312" w:cs="Times New Roman"/>
      <w:szCs w:val="36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unhideWhenUsed/>
    <w:qFormat/>
    <w:uiPriority w:val="99"/>
    <w:pPr>
      <w:spacing w:before="100" w:beforeAutospacing="1" w:after="100" w:afterAutospacing="1"/>
      <w:ind w:left="1600" w:leftChars="1600"/>
    </w:pPr>
  </w:style>
  <w:style w:type="paragraph" w:styleId="3">
    <w:name w:val="toa heading"/>
    <w:basedOn w:val="1"/>
    <w:next w:val="1"/>
    <w:qFormat/>
    <w:uiPriority w:val="0"/>
    <w:pPr>
      <w:spacing w:before="120"/>
    </w:pPr>
    <w:rPr>
      <w:rFonts w:ascii="Arial" w:hAnsi="Arial" w:eastAsia="宋体" w:cs="Arial"/>
      <w:sz w:val="24"/>
    </w:rPr>
  </w:style>
  <w:style w:type="paragraph" w:styleId="4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5">
    <w:name w:val="Balloon Text"/>
    <w:basedOn w:val="1"/>
    <w:link w:val="15"/>
    <w:unhideWhenUsed/>
    <w:qFormat/>
    <w:uiPriority w:val="99"/>
    <w:rPr>
      <w:sz w:val="18"/>
      <w:szCs w:val="18"/>
      <w:lang w:val="zh-CN"/>
    </w:rPr>
  </w:style>
  <w:style w:type="paragraph" w:styleId="6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  <w:lang w:val="zh-CN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8">
    <w:name w:val="Normal (Web)"/>
    <w:basedOn w:val="1"/>
    <w:qFormat/>
    <w:uiPriority w:val="99"/>
    <w:pPr>
      <w:widowControl w:val="0"/>
      <w:spacing w:beforeAutospacing="1" w:afterAutospacing="1" w:line="360" w:lineRule="auto"/>
    </w:pPr>
    <w:rPr>
      <w:rFonts w:ascii="Calibri" w:hAnsi="Calibri" w:eastAsia="宋体"/>
      <w:sz w:val="24"/>
      <w:szCs w:val="24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qFormat/>
    <w:uiPriority w:val="0"/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4">
    <w:name w:val="页眉 字符"/>
    <w:link w:val="7"/>
    <w:qFormat/>
    <w:uiPriority w:val="99"/>
    <w:rPr>
      <w:sz w:val="18"/>
      <w:szCs w:val="18"/>
    </w:rPr>
  </w:style>
  <w:style w:type="character" w:customStyle="1" w:styleId="15">
    <w:name w:val="批注框文本 字符"/>
    <w:link w:val="5"/>
    <w:semiHidden/>
    <w:qFormat/>
    <w:uiPriority w:val="99"/>
    <w:rPr>
      <w:sz w:val="18"/>
      <w:szCs w:val="18"/>
    </w:rPr>
  </w:style>
  <w:style w:type="character" w:customStyle="1" w:styleId="16">
    <w:name w:val="页脚 字符1"/>
    <w:link w:val="6"/>
    <w:qFormat/>
    <w:uiPriority w:val="0"/>
    <w:rPr>
      <w:sz w:val="18"/>
      <w:szCs w:val="18"/>
    </w:rPr>
  </w:style>
  <w:style w:type="paragraph" w:customStyle="1" w:styleId="17">
    <w:name w:val="p0"/>
    <w:basedOn w:val="1"/>
    <w:qFormat/>
    <w:uiPriority w:val="0"/>
    <w:pPr>
      <w:spacing w:before="100" w:beforeAutospacing="1" w:after="100" w:afterAutospacing="1" w:line="432" w:lineRule="atLeast"/>
    </w:pPr>
    <w:rPr>
      <w:rFonts w:ascii="宋体" w:hAnsi="宋体" w:eastAsia="宋体" w:cs="宋体"/>
      <w:sz w:val="24"/>
      <w:szCs w:val="24"/>
    </w:rPr>
  </w:style>
  <w:style w:type="paragraph" w:customStyle="1" w:styleId="18">
    <w:name w:val="普通(网站)1"/>
    <w:basedOn w:val="1"/>
    <w:qFormat/>
    <w:uiPriority w:val="0"/>
    <w:pPr>
      <w:spacing w:before="100" w:beforeAutospacing="1" w:after="100" w:afterAutospacing="1"/>
    </w:pPr>
    <w:rPr>
      <w:rFonts w:ascii="宋体" w:hAnsi="宋体" w:eastAsia="宋体"/>
      <w:sz w:val="24"/>
      <w:szCs w:val="22"/>
    </w:rPr>
  </w:style>
  <w:style w:type="paragraph" w:customStyle="1" w:styleId="19">
    <w:name w:val="列出段落1"/>
    <w:basedOn w:val="1"/>
    <w:qFormat/>
    <w:uiPriority w:val="0"/>
    <w:pPr>
      <w:widowControl w:val="0"/>
      <w:ind w:firstLine="420" w:firstLineChars="200"/>
      <w:jc w:val="both"/>
    </w:pPr>
    <w:rPr>
      <w:rFonts w:ascii="Times New Roman" w:eastAsia="宋体"/>
      <w:kern w:val="2"/>
      <w:sz w:val="21"/>
      <w:szCs w:val="21"/>
    </w:rPr>
  </w:style>
  <w:style w:type="character" w:customStyle="1" w:styleId="20">
    <w:name w:val="页脚 字符"/>
    <w:qFormat/>
    <w:uiPriority w:val="99"/>
    <w:rPr>
      <w:sz w:val="18"/>
      <w:szCs w:val="18"/>
    </w:rPr>
  </w:style>
  <w:style w:type="paragraph" w:customStyle="1" w:styleId="21">
    <w:name w:val="Other|1"/>
    <w:basedOn w:val="1"/>
    <w:qFormat/>
    <w:uiPriority w:val="0"/>
    <w:pPr>
      <w:widowControl w:val="0"/>
      <w:spacing w:line="410" w:lineRule="auto"/>
      <w:ind w:firstLine="400"/>
    </w:pPr>
    <w:rPr>
      <w:rFonts w:ascii="宋体" w:hAnsi="宋体" w:eastAsia="宋体" w:cs="宋体"/>
      <w:color w:val="000000"/>
      <w:sz w:val="30"/>
      <w:szCs w:val="30"/>
      <w:lang w:val="zh-TW" w:eastAsia="zh-TW" w:bidi="zh-TW"/>
    </w:rPr>
  </w:style>
  <w:style w:type="paragraph" w:customStyle="1" w:styleId="22">
    <w:name w:val="Body text|1"/>
    <w:basedOn w:val="1"/>
    <w:qFormat/>
    <w:uiPriority w:val="0"/>
    <w:pPr>
      <w:widowControl w:val="0"/>
      <w:spacing w:line="410" w:lineRule="auto"/>
      <w:ind w:firstLine="400"/>
    </w:pPr>
    <w:rPr>
      <w:rFonts w:ascii="宋体" w:hAnsi="宋体" w:eastAsia="宋体" w:cs="宋体"/>
      <w:color w:val="000000"/>
      <w:sz w:val="30"/>
      <w:szCs w:val="30"/>
      <w:lang w:val="zh-TW" w:eastAsia="zh-TW" w:bidi="zh-TW"/>
    </w:rPr>
  </w:style>
  <w:style w:type="paragraph" w:styleId="23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4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25">
    <w:name w:val="null5"/>
    <w:hidden/>
    <w:qFormat/>
    <w:uiPriority w:val="0"/>
    <w:rPr>
      <w:rFonts w:hint="eastAsia" w:asciiTheme="minorHAnsi" w:hAnsiTheme="minorHAnsi" w:eastAsiaTheme="minorEastAsia" w:cstheme="minorBidi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6A4480-D02E-4F5C-BB25-7D4A8B5C26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sdnu</Company>
  <Pages>7</Pages>
  <Words>3440</Words>
  <Characters>3855</Characters>
  <Lines>29</Lines>
  <Paragraphs>8</Paragraphs>
  <TotalTime>27</TotalTime>
  <ScaleCrop>false</ScaleCrop>
  <LinksUpToDate>false</LinksUpToDate>
  <CharactersWithSpaces>3919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2026-08-05T00:53:00Z</dcterms:created>
  <dc:creator>wangsong</dc:creator>
  <cp:lastModifiedBy>lenovo</cp:lastModifiedBy>
  <cp:lastPrinted>2026-08-05T07:17:00Z</cp:lastPrinted>
  <dcterms:modified xsi:type="dcterms:W3CDTF">2026-08-14T08:40:28Z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1349AD459BDA40D5BFD66B5CC35380E9_13</vt:lpwstr>
  </property>
  <property fmtid="{D5CDD505-2E9C-101B-9397-08002B2CF9AE}" pid="4" name="KSOTemplateDocerSaveRecord">
    <vt:lpwstr>eyJoZGlkIjoiZTZiYWFkODJjYjQ5YjQxZGZhZGNkOTgwZGM0ZmY2ZTUiLCJ1c2VySWQiOiI5MDk3ODE1NTEifQ==</vt:lpwstr>
  </property>
</Properties>
</file>