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F0DC7B">
      <w:pPr>
        <w:widowControl w:val="0"/>
        <w:overflowPunct w:val="0"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pacing w:val="20"/>
          <w:sz w:val="40"/>
          <w:szCs w:val="40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pacing w:val="20"/>
          <w:sz w:val="40"/>
          <w:szCs w:val="40"/>
          <w:highlight w:val="none"/>
        </w:rPr>
        <w:t>山东师范大学招标采购项目需求公示表</w:t>
      </w:r>
    </w:p>
    <w:p w14:paraId="1B47094B">
      <w:pPr>
        <w:rPr>
          <w:rFonts w:hint="default" w:ascii="宋体" w:hAnsi="宋体" w:eastAsia="宋体" w:cs="宋体"/>
          <w:b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</w:rPr>
        <w:t>编号: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  <w:lang w:eastAsia="zh-CN"/>
        </w:rPr>
        <w:t>SDSL-202</w:t>
      </w:r>
      <w:r>
        <w:rPr>
          <w:rFonts w:hint="eastAsia" w:ascii="宋体" w:hAnsi="宋体" w:eastAsia="宋体" w:cs="宋体"/>
          <w:b/>
          <w:color w:val="auto"/>
          <w:sz w:val="24"/>
          <w:szCs w:val="24"/>
          <w:highlight w:val="none"/>
          <w:lang w:val="en-US" w:eastAsia="zh-CN"/>
        </w:rPr>
        <w:t>6-159</w:t>
      </w:r>
    </w:p>
    <w:tbl>
      <w:tblPr>
        <w:tblStyle w:val="9"/>
        <w:tblW w:w="13812" w:type="dxa"/>
        <w:tblInd w:w="-1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761"/>
        <w:gridCol w:w="2584"/>
        <w:gridCol w:w="1119"/>
        <w:gridCol w:w="1827"/>
        <w:gridCol w:w="2126"/>
        <w:gridCol w:w="2605"/>
        <w:gridCol w:w="2790"/>
      </w:tblGrid>
      <w:tr w14:paraId="13C90D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</w:trPr>
        <w:tc>
          <w:tcPr>
            <w:tcW w:w="13812" w:type="dxa"/>
            <w:gridSpan w:val="7"/>
            <w:shd w:val="clear" w:color="auto" w:fill="FFFFFF"/>
            <w:vAlign w:val="center"/>
          </w:tcPr>
          <w:p w14:paraId="0F3C34FA">
            <w:pPr>
              <w:pStyle w:val="2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</w:rPr>
              <w:t>基本情况</w:t>
            </w:r>
          </w:p>
        </w:tc>
      </w:tr>
      <w:tr w14:paraId="73713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</w:trPr>
        <w:tc>
          <w:tcPr>
            <w:tcW w:w="3345" w:type="dxa"/>
            <w:gridSpan w:val="2"/>
            <w:shd w:val="clear" w:color="auto" w:fill="FFFFFF"/>
            <w:vAlign w:val="center"/>
          </w:tcPr>
          <w:p w14:paraId="230B2D39">
            <w:pPr>
              <w:pStyle w:val="2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10467" w:type="dxa"/>
            <w:gridSpan w:val="5"/>
            <w:shd w:val="clear" w:color="auto" w:fill="FFFFFF"/>
            <w:vAlign w:val="center"/>
          </w:tcPr>
          <w:p w14:paraId="7ED2AE2F">
            <w:pPr>
              <w:pStyle w:val="22"/>
              <w:overflowPunct w:val="0"/>
              <w:spacing w:line="400" w:lineRule="exact"/>
              <w:ind w:firstLine="0" w:firstLineChars="0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/>
                <w:bCs/>
                <w:color w:val="auto"/>
                <w:sz w:val="24"/>
                <w:highlight w:val="none"/>
                <w:lang w:eastAsia="zh-CN"/>
              </w:rPr>
              <w:t>山东师范大学2026年化学院小动物活体CT多模态融合成像系统采购项目</w:t>
            </w:r>
          </w:p>
        </w:tc>
      </w:tr>
      <w:tr w14:paraId="2BA13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</w:trPr>
        <w:tc>
          <w:tcPr>
            <w:tcW w:w="3345" w:type="dxa"/>
            <w:gridSpan w:val="2"/>
            <w:shd w:val="clear" w:color="auto" w:fill="FFFFFF"/>
            <w:vAlign w:val="center"/>
          </w:tcPr>
          <w:p w14:paraId="584CF049">
            <w:pPr>
              <w:pStyle w:val="2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项目主管单位</w:t>
            </w:r>
          </w:p>
        </w:tc>
        <w:tc>
          <w:tcPr>
            <w:tcW w:w="10467" w:type="dxa"/>
            <w:gridSpan w:val="5"/>
            <w:shd w:val="clear" w:color="auto" w:fill="FFFFFF"/>
            <w:vAlign w:val="center"/>
          </w:tcPr>
          <w:p w14:paraId="1AAAF5B7">
            <w:pPr>
              <w:pStyle w:val="22"/>
              <w:overflowPunct w:val="0"/>
              <w:spacing w:line="400" w:lineRule="exact"/>
              <w:ind w:firstLine="0" w:firstLineChars="0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化学化工与材料科学学院</w:t>
            </w:r>
          </w:p>
        </w:tc>
      </w:tr>
      <w:tr w14:paraId="2F318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</w:trPr>
        <w:tc>
          <w:tcPr>
            <w:tcW w:w="3345" w:type="dxa"/>
            <w:gridSpan w:val="2"/>
            <w:shd w:val="clear" w:color="auto" w:fill="FFFFFF"/>
            <w:vAlign w:val="center"/>
          </w:tcPr>
          <w:p w14:paraId="627F65E3">
            <w:pPr>
              <w:pStyle w:val="2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第三方咨询服务单位</w:t>
            </w:r>
          </w:p>
        </w:tc>
        <w:tc>
          <w:tcPr>
            <w:tcW w:w="10467" w:type="dxa"/>
            <w:gridSpan w:val="5"/>
            <w:shd w:val="clear" w:color="auto" w:fill="FFFFFF"/>
            <w:vAlign w:val="center"/>
          </w:tcPr>
          <w:p w14:paraId="4C7492D3">
            <w:pPr>
              <w:pStyle w:val="22"/>
              <w:overflowPunct w:val="0"/>
              <w:spacing w:line="400" w:lineRule="exact"/>
              <w:ind w:firstLine="0" w:firstLineChars="0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bCs/>
                <w:color w:val="auto"/>
                <w:sz w:val="24"/>
                <w:highlight w:val="none"/>
              </w:rPr>
              <w:t>山东善立招标有限公司</w:t>
            </w:r>
          </w:p>
        </w:tc>
      </w:tr>
      <w:tr w14:paraId="44B5B1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</w:trPr>
        <w:tc>
          <w:tcPr>
            <w:tcW w:w="13812" w:type="dxa"/>
            <w:gridSpan w:val="7"/>
            <w:shd w:val="clear" w:color="auto" w:fill="FFFFFF"/>
            <w:vAlign w:val="center"/>
          </w:tcPr>
          <w:p w14:paraId="1B4517FB">
            <w:pPr>
              <w:pStyle w:val="2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bidi="en-US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</w:rPr>
              <w:t>项目信息</w:t>
            </w:r>
          </w:p>
        </w:tc>
      </w:tr>
      <w:tr w14:paraId="787BE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</w:trPr>
        <w:tc>
          <w:tcPr>
            <w:tcW w:w="761" w:type="dxa"/>
            <w:shd w:val="clear" w:color="auto" w:fill="FFFFFF"/>
            <w:vAlign w:val="center"/>
          </w:tcPr>
          <w:p w14:paraId="096D39B9">
            <w:pPr>
              <w:pStyle w:val="2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包号</w:t>
            </w:r>
          </w:p>
        </w:tc>
        <w:tc>
          <w:tcPr>
            <w:tcW w:w="2584" w:type="dxa"/>
            <w:shd w:val="clear" w:color="auto" w:fill="FFFFFF"/>
            <w:vAlign w:val="center"/>
          </w:tcPr>
          <w:p w14:paraId="3E4C30D2">
            <w:pPr>
              <w:pStyle w:val="2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标的名称</w:t>
            </w:r>
          </w:p>
        </w:tc>
        <w:tc>
          <w:tcPr>
            <w:tcW w:w="1119" w:type="dxa"/>
            <w:shd w:val="clear" w:color="auto" w:fill="FFFFFF"/>
            <w:vAlign w:val="center"/>
          </w:tcPr>
          <w:p w14:paraId="0BF9AE20">
            <w:pPr>
              <w:pStyle w:val="2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数量</w:t>
            </w:r>
          </w:p>
        </w:tc>
        <w:tc>
          <w:tcPr>
            <w:tcW w:w="1827" w:type="dxa"/>
            <w:shd w:val="clear" w:color="auto" w:fill="FFFFFF"/>
            <w:vAlign w:val="center"/>
          </w:tcPr>
          <w:p w14:paraId="0499C032">
            <w:pPr>
              <w:pStyle w:val="2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是否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允许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进口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4E53281B">
            <w:pPr>
              <w:pStyle w:val="2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是否创新产品</w:t>
            </w:r>
          </w:p>
        </w:tc>
        <w:tc>
          <w:tcPr>
            <w:tcW w:w="2605" w:type="dxa"/>
            <w:shd w:val="clear" w:color="auto" w:fill="FFFFFF"/>
            <w:vAlign w:val="center"/>
          </w:tcPr>
          <w:p w14:paraId="6736731E">
            <w:pPr>
              <w:pStyle w:val="2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是否专门面向中小微或预留份额</w:t>
            </w:r>
          </w:p>
        </w:tc>
        <w:tc>
          <w:tcPr>
            <w:tcW w:w="2790" w:type="dxa"/>
            <w:shd w:val="clear" w:color="auto" w:fill="FFFFFF"/>
            <w:vAlign w:val="center"/>
          </w:tcPr>
          <w:p w14:paraId="0D72643B">
            <w:pPr>
              <w:pStyle w:val="2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预算金额（最高限价）</w:t>
            </w:r>
          </w:p>
        </w:tc>
      </w:tr>
      <w:tr w14:paraId="10227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5" w:hRule="atLeast"/>
        </w:trPr>
        <w:tc>
          <w:tcPr>
            <w:tcW w:w="761" w:type="dxa"/>
            <w:shd w:val="clear" w:color="auto" w:fill="FFFFFF"/>
            <w:vAlign w:val="center"/>
          </w:tcPr>
          <w:p w14:paraId="4E0DA6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2584" w:type="dxa"/>
            <w:shd w:val="clear" w:color="auto" w:fill="FFFFFF"/>
            <w:vAlign w:val="center"/>
          </w:tcPr>
          <w:p w14:paraId="4C003AF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小动物活体CT多模态融合成像系统</w:t>
            </w:r>
          </w:p>
        </w:tc>
        <w:tc>
          <w:tcPr>
            <w:tcW w:w="1119" w:type="dxa"/>
            <w:shd w:val="clear" w:color="auto" w:fill="FFFFFF"/>
            <w:vAlign w:val="center"/>
          </w:tcPr>
          <w:p w14:paraId="031A16C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bidi="ar"/>
              </w:rPr>
              <w:t>1套</w:t>
            </w:r>
          </w:p>
        </w:tc>
        <w:tc>
          <w:tcPr>
            <w:tcW w:w="1827" w:type="dxa"/>
            <w:shd w:val="clear" w:color="auto" w:fill="FFFFFF"/>
            <w:vAlign w:val="center"/>
          </w:tcPr>
          <w:p w14:paraId="39D7EC0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否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3B7F79D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否</w:t>
            </w:r>
          </w:p>
        </w:tc>
        <w:tc>
          <w:tcPr>
            <w:tcW w:w="2605" w:type="dxa"/>
            <w:shd w:val="clear" w:color="auto" w:fill="FFFFFF"/>
            <w:vAlign w:val="center"/>
          </w:tcPr>
          <w:p w14:paraId="135BD39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否</w:t>
            </w:r>
          </w:p>
        </w:tc>
        <w:tc>
          <w:tcPr>
            <w:tcW w:w="2790" w:type="dxa"/>
            <w:shd w:val="clear" w:color="auto" w:fill="FFFFFF"/>
            <w:vAlign w:val="center"/>
          </w:tcPr>
          <w:p w14:paraId="49CEDC25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458.00万元</w:t>
            </w:r>
          </w:p>
        </w:tc>
      </w:tr>
      <w:tr w14:paraId="3095FA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</w:trPr>
        <w:tc>
          <w:tcPr>
            <w:tcW w:w="13812" w:type="dxa"/>
            <w:gridSpan w:val="7"/>
            <w:shd w:val="clear" w:color="auto" w:fill="FFFFFF"/>
            <w:vAlign w:val="center"/>
          </w:tcPr>
          <w:p w14:paraId="2F1E18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  <w:lang w:val="zh-TW" w:eastAsia="zh-TW" w:bidi="zh-TW"/>
              </w:rPr>
              <w:t>需求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  <w:lang w:val="zh-TW" w:bidi="zh-TW"/>
              </w:rPr>
              <w:t>描述</w:t>
            </w:r>
          </w:p>
        </w:tc>
      </w:tr>
      <w:tr w14:paraId="2CDFEA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</w:trPr>
        <w:tc>
          <w:tcPr>
            <w:tcW w:w="3345" w:type="dxa"/>
            <w:gridSpan w:val="2"/>
            <w:shd w:val="clear" w:color="auto" w:fill="FFFFFF"/>
            <w:vAlign w:val="center"/>
          </w:tcPr>
          <w:p w14:paraId="04AA0036">
            <w:pPr>
              <w:spacing w:line="240" w:lineRule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技术要求</w:t>
            </w:r>
          </w:p>
        </w:tc>
        <w:tc>
          <w:tcPr>
            <w:tcW w:w="10467" w:type="dxa"/>
            <w:gridSpan w:val="5"/>
            <w:shd w:val="clear" w:color="auto" w:fill="FFFFFF"/>
            <w:vAlign w:val="center"/>
          </w:tcPr>
          <w:p w14:paraId="08D6D5E3">
            <w:pPr>
              <w:pStyle w:val="3"/>
              <w:spacing w:line="360" w:lineRule="auto"/>
              <w:ind w:left="0" w:leftChars="0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zh-CN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zh-CN" w:eastAsia="zh-CN" w:bidi="ar-SA"/>
              </w:rPr>
              <w:t>一、项目概况</w:t>
            </w:r>
          </w:p>
          <w:p w14:paraId="679F3EFE">
            <w:pPr>
              <w:spacing w:line="360" w:lineRule="auto"/>
              <w:rPr>
                <w:rFonts w:hint="eastAsia" w:ascii="宋体" w:hAnsi="宋体" w:eastAsia="宋体" w:cs="宋体"/>
                <w:iCs/>
                <w:color w:val="auto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宋体" w:hAnsi="宋体" w:eastAsia="宋体" w:cs="宋体"/>
                <w:iCs/>
                <w:color w:val="auto"/>
                <w:sz w:val="24"/>
                <w:szCs w:val="24"/>
                <w:highlight w:val="none"/>
                <w:lang w:val="zh-CN"/>
              </w:rPr>
              <w:t>本项目为山东师范大学2026年化学院小动物活体CT多模态融合成像系统采购项目，</w:t>
            </w:r>
            <w:r>
              <w:rPr>
                <w:rFonts w:hint="eastAsia" w:ascii="宋体" w:hAnsi="宋体" w:eastAsia="宋体" w:cs="宋体"/>
                <w:iCs/>
                <w:color w:val="auto"/>
                <w:sz w:val="24"/>
                <w:szCs w:val="24"/>
                <w:highlight w:val="none"/>
                <w:lang w:val="en-US" w:eastAsia="zh-CN"/>
              </w:rPr>
              <w:t>总</w:t>
            </w:r>
            <w:r>
              <w:rPr>
                <w:rFonts w:hint="eastAsia" w:ascii="宋体" w:hAnsi="宋体" w:eastAsia="宋体" w:cs="宋体"/>
                <w:iCs/>
                <w:color w:val="auto"/>
                <w:sz w:val="24"/>
                <w:szCs w:val="24"/>
                <w:highlight w:val="none"/>
                <w:lang w:val="zh-CN"/>
              </w:rPr>
              <w:t>预算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458.00万元</w:t>
            </w:r>
            <w:r>
              <w:rPr>
                <w:rFonts w:hint="eastAsia" w:ascii="宋体" w:hAnsi="宋体" w:eastAsia="宋体" w:cs="宋体"/>
                <w:iCs/>
                <w:color w:val="auto"/>
                <w:sz w:val="24"/>
                <w:szCs w:val="24"/>
                <w:highlight w:val="none"/>
                <w:lang w:val="zh-CN"/>
              </w:rPr>
              <w:t>。</w:t>
            </w:r>
          </w:p>
          <w:p w14:paraId="60EE4AF9">
            <w:pPr>
              <w:spacing w:line="360" w:lineRule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zh-CN"/>
              </w:rPr>
              <w:t>二、技术要求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 xml:space="preserve"> </w:t>
            </w:r>
          </w:p>
          <w:p w14:paraId="30BF1045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详见附件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详细技术要求。</w:t>
            </w:r>
          </w:p>
        </w:tc>
      </w:tr>
      <w:tr w14:paraId="79D88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</w:trPr>
        <w:tc>
          <w:tcPr>
            <w:tcW w:w="3345" w:type="dxa"/>
            <w:gridSpan w:val="2"/>
            <w:shd w:val="clear" w:color="auto" w:fill="FFFFFF"/>
            <w:vAlign w:val="center"/>
          </w:tcPr>
          <w:p w14:paraId="25313CC1">
            <w:pPr>
              <w:spacing w:line="240" w:lineRule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商务要求</w:t>
            </w:r>
          </w:p>
        </w:tc>
        <w:tc>
          <w:tcPr>
            <w:tcW w:w="10467" w:type="dxa"/>
            <w:gridSpan w:val="5"/>
            <w:shd w:val="clear" w:color="auto" w:fill="FFFFFF"/>
            <w:vAlign w:val="center"/>
          </w:tcPr>
          <w:p w14:paraId="0745BF33">
            <w:pPr>
              <w:numPr>
                <w:ilvl w:val="0"/>
                <w:numId w:val="1"/>
              </w:num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交货期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：</w:t>
            </w:r>
          </w:p>
          <w:p w14:paraId="6357E30A">
            <w:pPr>
              <w:pStyle w:val="25"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自合同签订之日起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3个月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内供货、安装、调试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验收完毕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。</w:t>
            </w:r>
          </w:p>
          <w:p w14:paraId="660A2597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交付地点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：</w:t>
            </w:r>
          </w:p>
          <w:p w14:paraId="790C834C">
            <w:pPr>
              <w:numPr>
                <w:ilvl w:val="0"/>
                <w:numId w:val="0"/>
              </w:numPr>
              <w:spacing w:line="360" w:lineRule="auto"/>
              <w:ind w:left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设备全部到达山东师范大学校内指定地点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（指定学院科研实验室）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。</w:t>
            </w:r>
          </w:p>
          <w:p w14:paraId="70160167">
            <w:pPr>
              <w:spacing w:line="360" w:lineRule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3、付款条件：</w:t>
            </w:r>
          </w:p>
          <w:p w14:paraId="54954F8E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中标人供货并安装调试完成，使用单位初步验收合格后支付合同价款的60%；经招标人验收合格后，招标人支付至合同价款的100%。</w:t>
            </w:r>
          </w:p>
          <w:p w14:paraId="2AA95083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4、验收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：</w:t>
            </w:r>
          </w:p>
          <w:p w14:paraId="3C827D45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招标人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根据《山东省政府采购履约验收管理办法》及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招标人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要求进行验收。</w:t>
            </w:r>
          </w:p>
          <w:p w14:paraId="750C8513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4.1货物运抵现场后，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招标人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将对货物数量、质量、规格等进行检验。如发现货物和规格或者两者都与招标文件、投标文件、合同不符，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招标人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有权限根据检验结果要求中标人立即更换或者提出索赔要求。</w:t>
            </w:r>
          </w:p>
          <w:p w14:paraId="7C5A0EE7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4.2货物由中标人进行安装，完毕后，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招标人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应对货物的数量、质量、规格、性能等进行详细而全面的检验。安装完毕7日后，证明货物以及安装质量无任何问题，由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招标人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组成的验收小组签署验收报告，作为付款凭据之一。</w:t>
            </w:r>
          </w:p>
          <w:p w14:paraId="25FAAE6D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5、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质保要求</w:t>
            </w:r>
          </w:p>
          <w:p w14:paraId="51982185">
            <w:pPr>
              <w:pStyle w:val="25"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5.1质保期：≥3年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原厂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整机质保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。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（清单技术规格要求中有要求的按照清单要求执行）国家主管部门或者行业标准对货物本身有更高要求的，从其规定并在合同中约定，投标人亦可提报更长的质保期，质保及售后须注明质保主体（原厂或投标人）。</w:t>
            </w:r>
          </w:p>
          <w:p w14:paraId="2B60C0B6">
            <w:pPr>
              <w:pStyle w:val="25"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5.2、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7×24小时全国报修热线，1小时远程技术响应，24小时原厂工程师上门故障处置。</w:t>
            </w:r>
          </w:p>
          <w:p w14:paraId="7A9318AC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5.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质量保证期内，如果证实货物是有缺陷的，包括潜在的缺陷或者使用不符合要求的材料等，中标人应立即免费维修或者更换有缺陷的货物或者部件，保证达到合同规定的技术以及性能要求。如果中标人在收到通知后5天内没有弥补缺陷，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招标人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可自行采取必要的补救措施，但风险和费用由中标人承担，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招标人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同时保留通过法律途径进行索赔的权利。</w:t>
            </w:r>
          </w:p>
          <w:p w14:paraId="0766353F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6、售后服务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：</w:t>
            </w:r>
          </w:p>
          <w:p w14:paraId="31F77EC7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6.1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预防性维保：质保期内每年2次免费上门整机保养，包含光路清洁、电路检测、CT辐射泄漏排查、光学/CT性能校准，出具正式维保存档报告。</w:t>
            </w:r>
          </w:p>
          <w:p w14:paraId="2D55A585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6.2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.售后备件：原厂长期供应全部探测器、X射线管、激光器、滤光片等核心备件，备件报价透明，无停产断供风险。</w:t>
            </w:r>
          </w:p>
          <w:p w14:paraId="61D490CD">
            <w:pPr>
              <w:spacing w:line="360" w:lineRule="auto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6.3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软件算法、补丁、新版本终身免费升级，终身远程实验方案优化、故障排查支持。</w:t>
            </w:r>
          </w:p>
          <w:p w14:paraId="4D1D540F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6.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投标人自报维修时间以及备品备件情况。</w:t>
            </w:r>
          </w:p>
          <w:p w14:paraId="11503F3A">
            <w:pPr>
              <w:pStyle w:val="24"/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7、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培训</w:t>
            </w:r>
          </w:p>
          <w:p w14:paraId="240D0287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7.1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投标人提供技术培训，包括全套设备操作、软件定量分析、日常维护实操培训；质保期内每年2次免费现场实操培训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。</w:t>
            </w:r>
          </w:p>
          <w:p w14:paraId="05AB2A1E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7.2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仪器安装调试合格后，需根据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采购人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要求在用户现场免费对用户使用人员（3-6人）进行为期不少于5天的基本操作与应用培训，对用户进行仪器的基本原理、日常操作、维护和安全常识等技术培训，保证用户能独立进行操作和日常维护。</w:t>
            </w:r>
          </w:p>
          <w:p w14:paraId="0151D3D4">
            <w:pPr>
              <w:pStyle w:val="24"/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8、设备安装要求</w:t>
            </w:r>
          </w:p>
          <w:p w14:paraId="4F787CFF">
            <w:pPr>
              <w:pStyle w:val="25"/>
              <w:spacing w:line="360" w:lineRule="auto"/>
              <w:jc w:val="left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本项目为交钥匙项目，供应商需在到货前先行勘查用户仪器放置场地，并负责场地湿度/温度/避光/防尘/防震/通风/接地等环境满足仪器安装要求。到货后由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中标人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技术人员到现场免费进行安装调试，安装过程中所涉及场地内的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气体管路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、水电、通风、防尘、避光等基本改造均由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中标人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负责，需保证设备在调试及试运行后应达到承诺的技术指标。</w:t>
            </w:r>
          </w:p>
        </w:tc>
      </w:tr>
      <w:tr w14:paraId="59BA6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</w:trPr>
        <w:tc>
          <w:tcPr>
            <w:tcW w:w="3345" w:type="dxa"/>
            <w:gridSpan w:val="2"/>
            <w:shd w:val="clear" w:color="auto" w:fill="FFFFFF"/>
            <w:vAlign w:val="center"/>
          </w:tcPr>
          <w:p w14:paraId="03D708EC">
            <w:pPr>
              <w:spacing w:line="240" w:lineRule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政策要求</w:t>
            </w:r>
          </w:p>
        </w:tc>
        <w:tc>
          <w:tcPr>
            <w:tcW w:w="10467" w:type="dxa"/>
            <w:gridSpan w:val="5"/>
            <w:shd w:val="clear" w:color="auto" w:fill="FFFFFF"/>
            <w:vAlign w:val="center"/>
          </w:tcPr>
          <w:p w14:paraId="6B7DF204">
            <w:pPr>
              <w:pStyle w:val="3"/>
              <w:spacing w:line="360" w:lineRule="auto"/>
              <w:ind w:left="0" w:leftChars="0" w:firstLine="0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zh-CN"/>
              </w:rPr>
              <w:t>严格落实财政部、工业和信息化部《政府采购促进中小企业发展管理办法》（财库〔2020〕46号）、《财政部 司法部关于政府采购支持监狱企业发展有关问题的通知》（财库〔2014〕68号）、《关于促进残疾人就业政府采购政策的通知》（财库[2017]141号）、</w:t>
            </w:r>
            <w:r>
              <w:rPr>
                <w:rFonts w:hint="eastAsia" w:ascii="宋体" w:hAnsi="宋体" w:eastAsia="宋体" w:cs="宋体"/>
                <w:iCs/>
                <w:color w:val="auto"/>
                <w:sz w:val="24"/>
                <w:highlight w:val="none"/>
                <w:u w:val="none"/>
                <w:lang w:val="zh-CN" w:eastAsia="zh-CN"/>
              </w:rPr>
              <w:t>《关于进一步发挥政府采购政策功能支持中小企业发展的通知》、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zh-CN"/>
              </w:rPr>
              <w:t>《关于进一步发挥政府采购政策功能支持中小企业发展的通知》、《关于调整优化节能产品、环境标志产品政府采购执行机制的通知》、《关于印发节能产品政府采购品目清单的通知》、《关于印发环境标志产品政府采购品目清单的通知》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本国产品政策、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zh-CN"/>
              </w:rPr>
              <w:t>采购绿色建材、推广节能建筑等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国家最新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zh-CN"/>
              </w:rPr>
              <w:t>政府采购政策。</w:t>
            </w:r>
          </w:p>
        </w:tc>
      </w:tr>
      <w:tr w14:paraId="53A363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</w:trPr>
        <w:tc>
          <w:tcPr>
            <w:tcW w:w="3345" w:type="dxa"/>
            <w:gridSpan w:val="2"/>
            <w:shd w:val="clear" w:color="auto" w:fill="FFFFFF"/>
            <w:vAlign w:val="center"/>
          </w:tcPr>
          <w:p w14:paraId="5F9C60EB">
            <w:pPr>
              <w:spacing w:line="240" w:lineRule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绩效目标</w:t>
            </w:r>
          </w:p>
        </w:tc>
        <w:tc>
          <w:tcPr>
            <w:tcW w:w="10467" w:type="dxa"/>
            <w:gridSpan w:val="5"/>
            <w:shd w:val="clear" w:color="auto" w:fill="FFFFFF"/>
            <w:vAlign w:val="center"/>
          </w:tcPr>
          <w:p w14:paraId="266AD55B">
            <w:pPr>
              <w:pStyle w:val="3"/>
              <w:spacing w:line="360" w:lineRule="auto"/>
              <w:ind w:left="0" w:leftChars="0" w:firstLine="0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实验教学：支持开设《材料表征技术》、《材料物理性能测试》等课程中的相关实验项目</w:t>
            </w:r>
          </w:p>
          <w:p w14:paraId="51A98FC6">
            <w:pPr>
              <w:pStyle w:val="3"/>
              <w:spacing w:line="360" w:lineRule="auto"/>
              <w:ind w:left="0" w:leftChars="0" w:firstLine="0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创新能力培养：服务国家级大创及研究生创新项目，强化学生前沿表征技术实操能力</w:t>
            </w:r>
          </w:p>
          <w:p w14:paraId="0330D85A">
            <w:pPr>
              <w:pStyle w:val="3"/>
              <w:spacing w:line="360" w:lineRule="auto"/>
              <w:ind w:left="0" w:leftChars="0" w:firstLine="0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纵向课题支撑：多孔催化材料的制备及新能源催化性能研究</w:t>
            </w:r>
          </w:p>
          <w:p w14:paraId="3718F608">
            <w:pPr>
              <w:pStyle w:val="3"/>
              <w:spacing w:line="360" w:lineRule="auto"/>
              <w:ind w:left="0" w:leftChars="0" w:firstLine="0" w:firstLineChars="0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科研成果转化：为横向合作项目提供技术支持，加速科研成果向实际生产力的转化。</w:t>
            </w:r>
          </w:p>
        </w:tc>
      </w:tr>
      <w:tr w14:paraId="48A95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10" w:hRule="atLeast"/>
        </w:trPr>
        <w:tc>
          <w:tcPr>
            <w:tcW w:w="3345" w:type="dxa"/>
            <w:gridSpan w:val="2"/>
            <w:shd w:val="clear" w:color="auto" w:fill="FFFFFF"/>
            <w:vAlign w:val="center"/>
          </w:tcPr>
          <w:p w14:paraId="3E237FFE">
            <w:pPr>
              <w:spacing w:line="240" w:lineRule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其他要求</w:t>
            </w:r>
          </w:p>
        </w:tc>
        <w:tc>
          <w:tcPr>
            <w:tcW w:w="10467" w:type="dxa"/>
            <w:gridSpan w:val="5"/>
            <w:shd w:val="clear" w:color="auto" w:fill="FFFFFF"/>
            <w:vAlign w:val="center"/>
          </w:tcPr>
          <w:p w14:paraId="4CCD916C">
            <w:pPr>
              <w:spacing w:line="360" w:lineRule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</w:rPr>
              <w:t>投标人资格要求：</w:t>
            </w:r>
          </w:p>
          <w:p w14:paraId="7528C446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满足《中华人民共和国政府采购法》第二十二条规定;</w:t>
            </w:r>
          </w:p>
          <w:p w14:paraId="59EB03A1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2、落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实政府采购政策需满足的资格要求：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无</w:t>
            </w:r>
          </w:p>
          <w:p w14:paraId="74026F4A">
            <w:pPr>
              <w:numPr>
                <w:ilvl w:val="0"/>
                <w:numId w:val="0"/>
              </w:num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3、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本项目的特定资格要求：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在“信用中国”（www.creditchina.gov.cn）、中国政府采购网（www.ccgp.gov.cn）、“信用山东”（credit.shandong.gov.cn）等网站中被列入失信被执行人、重大税收违法失信主体、政府采购严重违法失信行为记录名单的投标人，不得参加本次政府采购活动；</w:t>
            </w:r>
          </w:p>
          <w:p w14:paraId="42DAC639">
            <w:pPr>
              <w:spacing w:line="360" w:lineRule="auto"/>
              <w:rPr>
                <w:rFonts w:hint="eastAsia"/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）单位负责人为同一人或者存在直接控股、管理关系的不同投标人，不得参加同一合同项下（同一包号）的政府采购活动；</w:t>
            </w:r>
          </w:p>
        </w:tc>
      </w:tr>
    </w:tbl>
    <w:p w14:paraId="38ADD40D">
      <w:pPr>
        <w:spacing w:line="360" w:lineRule="auto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  <w:t>附件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eastAsia="zh-CN"/>
        </w:rPr>
        <w:t>：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  <w:t>详细技术要求</w:t>
      </w:r>
    </w:p>
    <w:tbl>
      <w:tblPr>
        <w:tblStyle w:val="9"/>
        <w:tblW w:w="13707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2"/>
        <w:gridCol w:w="1775"/>
        <w:gridCol w:w="11000"/>
      </w:tblGrid>
      <w:tr w14:paraId="7AEF528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2" w:type="dxa"/>
            <w:vAlign w:val="center"/>
          </w:tcPr>
          <w:p w14:paraId="290D0FC8">
            <w:pPr>
              <w:pStyle w:val="25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序号</w:t>
            </w:r>
          </w:p>
        </w:tc>
        <w:tc>
          <w:tcPr>
            <w:tcW w:w="1775" w:type="dxa"/>
            <w:vAlign w:val="center"/>
          </w:tcPr>
          <w:p w14:paraId="2EBAE4F3">
            <w:pPr>
              <w:pStyle w:val="25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标的名称</w:t>
            </w:r>
          </w:p>
        </w:tc>
        <w:tc>
          <w:tcPr>
            <w:tcW w:w="11000" w:type="dxa"/>
            <w:vAlign w:val="center"/>
          </w:tcPr>
          <w:p w14:paraId="579BA45B">
            <w:pPr>
              <w:pStyle w:val="25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技术参数与性能指标</w:t>
            </w:r>
          </w:p>
        </w:tc>
      </w:tr>
      <w:tr w14:paraId="47E2FE2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0" w:hRule="atLeast"/>
        </w:trPr>
        <w:tc>
          <w:tcPr>
            <w:tcW w:w="932" w:type="dxa"/>
            <w:vAlign w:val="center"/>
          </w:tcPr>
          <w:p w14:paraId="3C854092">
            <w:pPr>
              <w:pStyle w:val="25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1775" w:type="dxa"/>
            <w:vAlign w:val="center"/>
          </w:tcPr>
          <w:p w14:paraId="548482DE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小动物活体CT多模态融合成像系统</w:t>
            </w:r>
          </w:p>
        </w:tc>
        <w:tc>
          <w:tcPr>
            <w:tcW w:w="11000" w:type="dxa"/>
            <w:vAlign w:val="center"/>
          </w:tcPr>
          <w:p w14:paraId="5424F6A7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可见光活体成像</w:t>
            </w:r>
          </w:p>
          <w:p w14:paraId="703C9C88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1.1、CCD类型：背照式制冷CCD，真空密封；</w:t>
            </w:r>
          </w:p>
          <w:p w14:paraId="020F938B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1.2、制冷温度：≤ -90℃（绝对温度），并可实时显示制冷温度；</w:t>
            </w:r>
          </w:p>
          <w:p w14:paraId="7163ACD7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1.3、像素矩阵：≥1024×1024，图像分辨率可根据实验要求进行选择；</w:t>
            </w:r>
          </w:p>
          <w:p w14:paraId="06EE189E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1.4、像元尺寸：≥13μm×13μm；</w:t>
            </w:r>
          </w:p>
          <w:p w14:paraId="4F4B7988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1.5、量子效率峰值：≥90%；</w:t>
            </w:r>
          </w:p>
          <w:p w14:paraId="68EE24D6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1.6、光谱响应范围：300-900nm；</w:t>
            </w:r>
          </w:p>
          <w:p w14:paraId="7EB1DB34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1.7、暗电流：≤0.0005 e-/pixel/s；</w:t>
            </w:r>
          </w:p>
          <w:p w14:paraId="24174FC7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1.8、成像镜头：光圈≤F/0.8，光圈不少于三档电动可调，分辨率≥1000万；</w:t>
            </w:r>
          </w:p>
          <w:p w14:paraId="20A330BC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1.9、成像视野：可覆盖8cm至28cm，支持≥5只小鼠同时成像；</w:t>
            </w:r>
          </w:p>
          <w:p w14:paraId="0C938B4A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1.10、滤光片：自动滤光片转轮，≥18个发射滤光片，波长涵盖430-800nm，每20nm设置一个波长；</w:t>
            </w:r>
          </w:p>
          <w:p w14:paraId="0841B0BC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1.11、激发光源：配置≥8个荧光激发光源；</w:t>
            </w:r>
          </w:p>
          <w:p w14:paraId="12E7B067">
            <w:pPr>
              <w:spacing w:line="360" w:lineRule="auto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1.12、光谱分离:可支持两种以上荧光信号同时成像与光谱拆分；</w:t>
            </w:r>
          </w:p>
          <w:p w14:paraId="08A0CA36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1.13、温控载物台：自动旋转与控温，温度范围25-40℃，支持触摸屏或无线操控载物台旋转。</w:t>
            </w:r>
          </w:p>
          <w:p w14:paraId="40E7AE9D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2、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X射线CT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成像</w:t>
            </w:r>
          </w:p>
          <w:p w14:paraId="5DC332B8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.1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X射线源电压：20-90kV，连续可调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0566121E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.2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X射线源功率：≥8W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07F54244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.3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X射线源焦点尺寸：≤5μm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54B74303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.4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探测器类型：CMOS平板探测器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412AB4D7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.5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探测器像素：≥650万像素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4AD8A8DA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.6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CT空间分辨率：≤10μm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@10% MTF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）；</w:t>
            </w:r>
          </w:p>
          <w:p w14:paraId="59702402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.7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重建分辨率：≤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μm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63095280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.8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扫描床直径：≥80mm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55045C1E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.9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扫描床长度：≥250mm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2D8DB2D5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.10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扫描仓内部孔径：≥160mm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67E922FD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.11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扫描模式：离体与活体一体化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3491503D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.12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辐射防护：X射线CT模块需自带辐射自屏蔽机架，正常工作，机壳可触及外表面5cm处，周围剂量当量率≤1.0μSv/h,制造商具备辐射安全许可证(提供辐射检测报告和辐射安全许可证的证明材料)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。</w:t>
            </w:r>
          </w:p>
          <w:p w14:paraId="35BB0D64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3、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近红外活体成像</w:t>
            </w:r>
          </w:p>
          <w:p w14:paraId="00CC2E04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3.1、探测器类型：InGaAs红外相机；</w:t>
            </w:r>
          </w:p>
          <w:p w14:paraId="6E1A9D0F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3.2、探测器制冷温度：≤ -80℃；</w:t>
            </w:r>
          </w:p>
          <w:p w14:paraId="0F743546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3.3、像素矩阵：≥ 640×512；</w:t>
            </w:r>
          </w:p>
          <w:p w14:paraId="57194E74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3.4、像素尺寸：≥15μm；</w:t>
            </w:r>
          </w:p>
          <w:p w14:paraId="294FC41D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3.5、量子效率：≥50%；</w:t>
            </w:r>
          </w:p>
          <w:p w14:paraId="74271939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3.6、光谱范围：900-1700nm；</w:t>
            </w:r>
          </w:p>
          <w:p w14:paraId="3B056806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3.7、采集帧率：≥50fps；</w:t>
            </w:r>
          </w:p>
          <w:p w14:paraId="2A04C22A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3.8、成像镜头：光圈≥F/1.2，光圈不少于三档可调；</w:t>
            </w:r>
          </w:p>
          <w:p w14:paraId="5FF2284F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3.9、最大成像视野不小于15cmx15cm；</w:t>
            </w:r>
          </w:p>
          <w:p w14:paraId="42F579F3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3.10、激光器：配置≥3路激光器，波长至少包含808nm/980nm/1064nm，单路功率≥8W；</w:t>
            </w:r>
          </w:p>
          <w:p w14:paraId="7BA9C083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3.11、滤光片：可同时装载≥5组红外滤光片，配置：长通滤光片12片，带通滤光片15片。</w:t>
            </w:r>
          </w:p>
          <w:p w14:paraId="62557D06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4、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三维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光学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成像</w:t>
            </w:r>
          </w:p>
          <w:p w14:paraId="2A5EAC8B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.1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光谱范围：400-900nm(三维光学一区)，900-1700nm(近红外二区)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3D75AFFB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.2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成像模式：具备生物发光、荧光的二维与三维成像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22645D89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.3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三维成像与重建:利用光学硬件自动完成生物发光、荧光的三维扫描与重建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34AAED1F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4.4、融合模式:支持下转换荧光、上转换荧光、余辉成像、生物发光、近红外二区成像等多通道融合；</w:t>
            </w:r>
          </w:p>
          <w:p w14:paraId="5A7073C1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4.5、三维光学成像:装配≥3套侧视相机，支持多角度信号同时采集与三维重建，可360°展示信号；</w:t>
            </w:r>
          </w:p>
          <w:p w14:paraId="1BBC60C3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4.6、拓扑扫描成像:至少配置一套三维拓扑结构相机，配合旋转平台自动完成轮廓扫描与三维重建；</w:t>
            </w:r>
          </w:p>
          <w:p w14:paraId="0757997F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5、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软件系统</w:t>
            </w:r>
          </w:p>
          <w:p w14:paraId="7574C91E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5.1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图像采集：支持单张拍摄/多张拍摄/序列拍摄模式，支持视频采集与延迟采集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53980D37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5.2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图像分析：支持叠加影像、明场图像、发光图像、荧光图像显示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511C099D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5.3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定量分析：以p/s/cm²/sr或[p/s/cm²/sr]/[μW/cm²]进行定量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12D3965D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5.4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光谱分离：具备光谱分离算法，支持≥3种荧光通道的光谱分离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35A18ACF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5.5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三维融合：支持光学三维与CT三维数据融合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；</w:t>
            </w:r>
            <w:bookmarkStart w:id="0" w:name="_GoBack"/>
            <w:bookmarkEnd w:id="0"/>
          </w:p>
          <w:p w14:paraId="447DB03B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5.6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多实验对比：支持≥10组实验数据归一化分析处理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5964B7A9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5.7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数据导出：支持多种数据格式的导出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25709F09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6、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辅助系统</w:t>
            </w:r>
          </w:p>
          <w:p w14:paraId="523E36E3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6.1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气体麻醉系统：一体化气体麻醉与废气回收系统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0A72D1DE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6.2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麻醉浓度：0-5%可调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718F2A48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6.3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麻醉面罩：≥5个独立控制流量接口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0119BD68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6.4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水冷系统：配置闭循环水冷机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36534AC7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6.5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满足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设备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持续供电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5E88DAD3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7、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配置清单</w:t>
            </w:r>
          </w:p>
          <w:p w14:paraId="017DFBA9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7.1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主机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含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可见光活体成像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近红外成像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CT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：1套</w:t>
            </w:r>
          </w:p>
          <w:p w14:paraId="6BBD71CD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7.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气体麻醉系统：2套</w:t>
            </w:r>
          </w:p>
          <w:p w14:paraId="0501E12C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7.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图像分析工作站：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套</w:t>
            </w:r>
          </w:p>
          <w:p w14:paraId="55E35CB3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7.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动物床/扫描仓（小鼠、大鼠）：各2套</w:t>
            </w:r>
          </w:p>
          <w:p w14:paraId="52B07F5A">
            <w:pPr>
              <w:spacing w:line="360" w:lineRule="auto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7.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麻醉剂：20瓶</w:t>
            </w:r>
          </w:p>
          <w:p w14:paraId="0854BC49">
            <w:pPr>
              <w:spacing w:line="360" w:lineRule="auto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7.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  <w:t>活性炭罐：100罐</w:t>
            </w:r>
          </w:p>
        </w:tc>
      </w:tr>
    </w:tbl>
    <w:p w14:paraId="2CC2BC98">
      <w:pPr>
        <w:spacing w:line="360" w:lineRule="auto"/>
        <w:rPr>
          <w:rFonts w:hint="eastAsia"/>
          <w:color w:val="FF0000"/>
          <w:highlight w:val="none"/>
          <w:lang w:val="en-US" w:eastAsia="zh-CN"/>
        </w:rPr>
      </w:pPr>
    </w:p>
    <w:sectPr>
      <w:headerReference r:id="rId3" w:type="default"/>
      <w:footerReference r:id="rId4" w:type="default"/>
      <w:footerReference r:id="rId5" w:type="even"/>
      <w:pgSz w:w="16838" w:h="11906" w:orient="landscape"/>
      <w:pgMar w:top="1389" w:right="1701" w:bottom="1361" w:left="1701" w:header="851" w:footer="992" w:gutter="0"/>
      <w:pgNumType w:fmt="decimal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5DB4D5"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3E95CF6">
                          <w:pPr>
                            <w:pStyle w:val="5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3E95CF6">
                    <w:pPr>
                      <w:pStyle w:val="5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2CA602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9D78CAE">
                          <w:pPr>
                            <w:pStyle w:val="5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9D78CAE">
                    <w:pPr>
                      <w:pStyle w:val="5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1633B1">
    <w:pPr>
      <w:pStyle w:val="6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515382"/>
    <w:multiLevelType w:val="singleLevel"/>
    <w:tmpl w:val="54515382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evenAndOddHeaders w:val="1"/>
  <w:drawingGridHorizontalSpacing w:val="10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cxODRkZTkzMzcxYzlkZTlhODQ0YTE1M2I5NzViNTYifQ=="/>
  </w:docVars>
  <w:rsids>
    <w:rsidRoot w:val="0030106B"/>
    <w:rsid w:val="00000698"/>
    <w:rsid w:val="000011A5"/>
    <w:rsid w:val="00010BF1"/>
    <w:rsid w:val="00023BDD"/>
    <w:rsid w:val="00024D0A"/>
    <w:rsid w:val="00030CB2"/>
    <w:rsid w:val="0004030A"/>
    <w:rsid w:val="00041346"/>
    <w:rsid w:val="00053AFD"/>
    <w:rsid w:val="00057C84"/>
    <w:rsid w:val="00074B50"/>
    <w:rsid w:val="00082A58"/>
    <w:rsid w:val="00091335"/>
    <w:rsid w:val="000B39FD"/>
    <w:rsid w:val="000B42FA"/>
    <w:rsid w:val="000B5AE0"/>
    <w:rsid w:val="000B6345"/>
    <w:rsid w:val="000B63B4"/>
    <w:rsid w:val="000B7901"/>
    <w:rsid w:val="000C000F"/>
    <w:rsid w:val="000C39BB"/>
    <w:rsid w:val="000D0EB2"/>
    <w:rsid w:val="000D4ADE"/>
    <w:rsid w:val="000E5582"/>
    <w:rsid w:val="0010654E"/>
    <w:rsid w:val="001139C2"/>
    <w:rsid w:val="00115C13"/>
    <w:rsid w:val="0012051F"/>
    <w:rsid w:val="00121ED2"/>
    <w:rsid w:val="001327F4"/>
    <w:rsid w:val="00137A95"/>
    <w:rsid w:val="001431C5"/>
    <w:rsid w:val="001558BB"/>
    <w:rsid w:val="00161377"/>
    <w:rsid w:val="001640FF"/>
    <w:rsid w:val="0018274C"/>
    <w:rsid w:val="00185DB9"/>
    <w:rsid w:val="001A356B"/>
    <w:rsid w:val="001A75DA"/>
    <w:rsid w:val="001B3C20"/>
    <w:rsid w:val="001B446C"/>
    <w:rsid w:val="001B75A4"/>
    <w:rsid w:val="001C6A57"/>
    <w:rsid w:val="001D4B6A"/>
    <w:rsid w:val="001D7AA6"/>
    <w:rsid w:val="001F28D0"/>
    <w:rsid w:val="00204073"/>
    <w:rsid w:val="0020584D"/>
    <w:rsid w:val="00206E9A"/>
    <w:rsid w:val="002171BF"/>
    <w:rsid w:val="00227709"/>
    <w:rsid w:val="0023368B"/>
    <w:rsid w:val="00234448"/>
    <w:rsid w:val="00245D1C"/>
    <w:rsid w:val="002474B6"/>
    <w:rsid w:val="00256960"/>
    <w:rsid w:val="00280711"/>
    <w:rsid w:val="00281884"/>
    <w:rsid w:val="00294097"/>
    <w:rsid w:val="0029418C"/>
    <w:rsid w:val="002943CB"/>
    <w:rsid w:val="00295ECF"/>
    <w:rsid w:val="002A0169"/>
    <w:rsid w:val="002A0F48"/>
    <w:rsid w:val="002A2CD7"/>
    <w:rsid w:val="002A51E4"/>
    <w:rsid w:val="002A5A75"/>
    <w:rsid w:val="002A5DBC"/>
    <w:rsid w:val="002A65D9"/>
    <w:rsid w:val="002B2AAE"/>
    <w:rsid w:val="002C1253"/>
    <w:rsid w:val="002D08D1"/>
    <w:rsid w:val="002D15BB"/>
    <w:rsid w:val="002E1703"/>
    <w:rsid w:val="0030106B"/>
    <w:rsid w:val="00303D8C"/>
    <w:rsid w:val="0030567C"/>
    <w:rsid w:val="00311A58"/>
    <w:rsid w:val="00313BCD"/>
    <w:rsid w:val="00321509"/>
    <w:rsid w:val="003233D3"/>
    <w:rsid w:val="00332B69"/>
    <w:rsid w:val="003336D7"/>
    <w:rsid w:val="0033419E"/>
    <w:rsid w:val="00341B76"/>
    <w:rsid w:val="00341D2E"/>
    <w:rsid w:val="00346900"/>
    <w:rsid w:val="00363E08"/>
    <w:rsid w:val="0036611E"/>
    <w:rsid w:val="00373383"/>
    <w:rsid w:val="0037562E"/>
    <w:rsid w:val="00385BF9"/>
    <w:rsid w:val="00395696"/>
    <w:rsid w:val="00397CCF"/>
    <w:rsid w:val="003A0AAC"/>
    <w:rsid w:val="003A37D8"/>
    <w:rsid w:val="003A5CDE"/>
    <w:rsid w:val="003A6D15"/>
    <w:rsid w:val="003A708B"/>
    <w:rsid w:val="003B067A"/>
    <w:rsid w:val="003B4425"/>
    <w:rsid w:val="003E2DEF"/>
    <w:rsid w:val="00406DEA"/>
    <w:rsid w:val="00426BA3"/>
    <w:rsid w:val="00432A36"/>
    <w:rsid w:val="004357E2"/>
    <w:rsid w:val="00440ACF"/>
    <w:rsid w:val="00477CE5"/>
    <w:rsid w:val="004804E6"/>
    <w:rsid w:val="00480711"/>
    <w:rsid w:val="00486DEB"/>
    <w:rsid w:val="00491A3E"/>
    <w:rsid w:val="00495E6D"/>
    <w:rsid w:val="004A01C4"/>
    <w:rsid w:val="004A4505"/>
    <w:rsid w:val="004A7884"/>
    <w:rsid w:val="004B090D"/>
    <w:rsid w:val="004B4F03"/>
    <w:rsid w:val="004C2305"/>
    <w:rsid w:val="004D5768"/>
    <w:rsid w:val="004E5D20"/>
    <w:rsid w:val="004E6E86"/>
    <w:rsid w:val="004E7557"/>
    <w:rsid w:val="004F1926"/>
    <w:rsid w:val="004F7B84"/>
    <w:rsid w:val="005050A2"/>
    <w:rsid w:val="005258EA"/>
    <w:rsid w:val="00525A72"/>
    <w:rsid w:val="0052734A"/>
    <w:rsid w:val="0052744F"/>
    <w:rsid w:val="00530B6C"/>
    <w:rsid w:val="00532E4E"/>
    <w:rsid w:val="0054053F"/>
    <w:rsid w:val="00545EA5"/>
    <w:rsid w:val="00550D46"/>
    <w:rsid w:val="00557005"/>
    <w:rsid w:val="00560C0C"/>
    <w:rsid w:val="0056787B"/>
    <w:rsid w:val="00572C05"/>
    <w:rsid w:val="00582A71"/>
    <w:rsid w:val="00596DC2"/>
    <w:rsid w:val="005A2704"/>
    <w:rsid w:val="005C22DF"/>
    <w:rsid w:val="005D17E8"/>
    <w:rsid w:val="005D2281"/>
    <w:rsid w:val="005E3BEE"/>
    <w:rsid w:val="00601332"/>
    <w:rsid w:val="00603667"/>
    <w:rsid w:val="00620304"/>
    <w:rsid w:val="00627B0B"/>
    <w:rsid w:val="006426FD"/>
    <w:rsid w:val="00647C24"/>
    <w:rsid w:val="00650317"/>
    <w:rsid w:val="00652295"/>
    <w:rsid w:val="006654F4"/>
    <w:rsid w:val="00670318"/>
    <w:rsid w:val="0068173B"/>
    <w:rsid w:val="00682C78"/>
    <w:rsid w:val="006834D4"/>
    <w:rsid w:val="006838BA"/>
    <w:rsid w:val="00685EE4"/>
    <w:rsid w:val="006864EA"/>
    <w:rsid w:val="006940F8"/>
    <w:rsid w:val="006A6358"/>
    <w:rsid w:val="006B68D2"/>
    <w:rsid w:val="006C1D30"/>
    <w:rsid w:val="006C3692"/>
    <w:rsid w:val="006C6460"/>
    <w:rsid w:val="006D0C46"/>
    <w:rsid w:val="006D24E1"/>
    <w:rsid w:val="006E69AD"/>
    <w:rsid w:val="006F59CE"/>
    <w:rsid w:val="006F7788"/>
    <w:rsid w:val="0070377B"/>
    <w:rsid w:val="00704BDA"/>
    <w:rsid w:val="00713A03"/>
    <w:rsid w:val="00716F55"/>
    <w:rsid w:val="00721EC4"/>
    <w:rsid w:val="0072358F"/>
    <w:rsid w:val="00724798"/>
    <w:rsid w:val="00732866"/>
    <w:rsid w:val="0073541C"/>
    <w:rsid w:val="00742B06"/>
    <w:rsid w:val="00744850"/>
    <w:rsid w:val="00745D19"/>
    <w:rsid w:val="0074770C"/>
    <w:rsid w:val="00747780"/>
    <w:rsid w:val="00754EFB"/>
    <w:rsid w:val="00757933"/>
    <w:rsid w:val="0076516B"/>
    <w:rsid w:val="00775034"/>
    <w:rsid w:val="00775D4A"/>
    <w:rsid w:val="00776C9F"/>
    <w:rsid w:val="0078259D"/>
    <w:rsid w:val="00792D2E"/>
    <w:rsid w:val="00793EC7"/>
    <w:rsid w:val="0079517B"/>
    <w:rsid w:val="007A3274"/>
    <w:rsid w:val="007A3969"/>
    <w:rsid w:val="007B02AC"/>
    <w:rsid w:val="007B39EC"/>
    <w:rsid w:val="007B538D"/>
    <w:rsid w:val="007B6CD5"/>
    <w:rsid w:val="007C1D74"/>
    <w:rsid w:val="007C3FE7"/>
    <w:rsid w:val="007D5A2D"/>
    <w:rsid w:val="007D6D43"/>
    <w:rsid w:val="007D7B4C"/>
    <w:rsid w:val="007E251F"/>
    <w:rsid w:val="007F5B17"/>
    <w:rsid w:val="00806C4C"/>
    <w:rsid w:val="00806ED7"/>
    <w:rsid w:val="00816668"/>
    <w:rsid w:val="0082494B"/>
    <w:rsid w:val="00827280"/>
    <w:rsid w:val="00832BE9"/>
    <w:rsid w:val="0085115F"/>
    <w:rsid w:val="00851568"/>
    <w:rsid w:val="008557C6"/>
    <w:rsid w:val="00863B7A"/>
    <w:rsid w:val="00865B33"/>
    <w:rsid w:val="008773EE"/>
    <w:rsid w:val="00885A35"/>
    <w:rsid w:val="008943C8"/>
    <w:rsid w:val="008B2331"/>
    <w:rsid w:val="008C1369"/>
    <w:rsid w:val="008D0665"/>
    <w:rsid w:val="008D429B"/>
    <w:rsid w:val="008E3E61"/>
    <w:rsid w:val="008E6363"/>
    <w:rsid w:val="008E6A71"/>
    <w:rsid w:val="008E7A37"/>
    <w:rsid w:val="008F234F"/>
    <w:rsid w:val="009174BB"/>
    <w:rsid w:val="0092478F"/>
    <w:rsid w:val="00925FC9"/>
    <w:rsid w:val="009331FD"/>
    <w:rsid w:val="009333AA"/>
    <w:rsid w:val="00934E05"/>
    <w:rsid w:val="00935891"/>
    <w:rsid w:val="00940044"/>
    <w:rsid w:val="0094249D"/>
    <w:rsid w:val="00945FB0"/>
    <w:rsid w:val="00950CDE"/>
    <w:rsid w:val="00960496"/>
    <w:rsid w:val="009613A2"/>
    <w:rsid w:val="00961EA2"/>
    <w:rsid w:val="00971000"/>
    <w:rsid w:val="0097497E"/>
    <w:rsid w:val="00975C5B"/>
    <w:rsid w:val="00976677"/>
    <w:rsid w:val="009818A0"/>
    <w:rsid w:val="009954C9"/>
    <w:rsid w:val="009A2231"/>
    <w:rsid w:val="009A31DA"/>
    <w:rsid w:val="009A74AD"/>
    <w:rsid w:val="009B74D4"/>
    <w:rsid w:val="009C5CD8"/>
    <w:rsid w:val="009D120F"/>
    <w:rsid w:val="009D7338"/>
    <w:rsid w:val="009E042D"/>
    <w:rsid w:val="009E0DFB"/>
    <w:rsid w:val="009F09A1"/>
    <w:rsid w:val="009F0AD2"/>
    <w:rsid w:val="009F62E4"/>
    <w:rsid w:val="00A02722"/>
    <w:rsid w:val="00A27C51"/>
    <w:rsid w:val="00A33158"/>
    <w:rsid w:val="00A3727E"/>
    <w:rsid w:val="00A51941"/>
    <w:rsid w:val="00A618DD"/>
    <w:rsid w:val="00A914B8"/>
    <w:rsid w:val="00AA02A0"/>
    <w:rsid w:val="00AA039E"/>
    <w:rsid w:val="00AA0D27"/>
    <w:rsid w:val="00AA5010"/>
    <w:rsid w:val="00AA66E2"/>
    <w:rsid w:val="00AB69C2"/>
    <w:rsid w:val="00AC64BC"/>
    <w:rsid w:val="00AD23B5"/>
    <w:rsid w:val="00AF462B"/>
    <w:rsid w:val="00AF7C1B"/>
    <w:rsid w:val="00B0192D"/>
    <w:rsid w:val="00B0594F"/>
    <w:rsid w:val="00B17AA9"/>
    <w:rsid w:val="00B26D30"/>
    <w:rsid w:val="00B27A3A"/>
    <w:rsid w:val="00B3348B"/>
    <w:rsid w:val="00B36F31"/>
    <w:rsid w:val="00B3721E"/>
    <w:rsid w:val="00B429F9"/>
    <w:rsid w:val="00B44D3C"/>
    <w:rsid w:val="00B540E1"/>
    <w:rsid w:val="00B615BD"/>
    <w:rsid w:val="00B6319E"/>
    <w:rsid w:val="00B95657"/>
    <w:rsid w:val="00BA39F3"/>
    <w:rsid w:val="00BA5EA9"/>
    <w:rsid w:val="00BB2B98"/>
    <w:rsid w:val="00BC3F97"/>
    <w:rsid w:val="00BD3C3A"/>
    <w:rsid w:val="00BD4CB1"/>
    <w:rsid w:val="00BE1DD2"/>
    <w:rsid w:val="00BE2640"/>
    <w:rsid w:val="00BF0B6A"/>
    <w:rsid w:val="00BF44E3"/>
    <w:rsid w:val="00BF4CE2"/>
    <w:rsid w:val="00BF650C"/>
    <w:rsid w:val="00C071E5"/>
    <w:rsid w:val="00C268F5"/>
    <w:rsid w:val="00C26C4C"/>
    <w:rsid w:val="00C359CA"/>
    <w:rsid w:val="00C552F0"/>
    <w:rsid w:val="00C61367"/>
    <w:rsid w:val="00C61F89"/>
    <w:rsid w:val="00C66936"/>
    <w:rsid w:val="00C82A0C"/>
    <w:rsid w:val="00C847C1"/>
    <w:rsid w:val="00CA61CA"/>
    <w:rsid w:val="00CA6C28"/>
    <w:rsid w:val="00CB65A6"/>
    <w:rsid w:val="00CB78AC"/>
    <w:rsid w:val="00CC1069"/>
    <w:rsid w:val="00CC773F"/>
    <w:rsid w:val="00CD14BA"/>
    <w:rsid w:val="00CE6BB8"/>
    <w:rsid w:val="00CF1935"/>
    <w:rsid w:val="00CF4152"/>
    <w:rsid w:val="00D00608"/>
    <w:rsid w:val="00D074CA"/>
    <w:rsid w:val="00D16306"/>
    <w:rsid w:val="00D40704"/>
    <w:rsid w:val="00D67C46"/>
    <w:rsid w:val="00D80FFC"/>
    <w:rsid w:val="00D85451"/>
    <w:rsid w:val="00D87325"/>
    <w:rsid w:val="00DA7B71"/>
    <w:rsid w:val="00DB0852"/>
    <w:rsid w:val="00DB1DFA"/>
    <w:rsid w:val="00DB3DAB"/>
    <w:rsid w:val="00DC18FC"/>
    <w:rsid w:val="00DD5595"/>
    <w:rsid w:val="00DE3F34"/>
    <w:rsid w:val="00E05C4C"/>
    <w:rsid w:val="00E065DD"/>
    <w:rsid w:val="00E06926"/>
    <w:rsid w:val="00E076D8"/>
    <w:rsid w:val="00E15248"/>
    <w:rsid w:val="00E153F9"/>
    <w:rsid w:val="00E156A1"/>
    <w:rsid w:val="00E1779E"/>
    <w:rsid w:val="00E3729F"/>
    <w:rsid w:val="00E439CC"/>
    <w:rsid w:val="00E45A91"/>
    <w:rsid w:val="00E510C7"/>
    <w:rsid w:val="00E6365E"/>
    <w:rsid w:val="00E664A1"/>
    <w:rsid w:val="00E7103A"/>
    <w:rsid w:val="00E73768"/>
    <w:rsid w:val="00E918BF"/>
    <w:rsid w:val="00EB0721"/>
    <w:rsid w:val="00EB255F"/>
    <w:rsid w:val="00EB58B9"/>
    <w:rsid w:val="00EB5ACD"/>
    <w:rsid w:val="00EB7248"/>
    <w:rsid w:val="00ED2D29"/>
    <w:rsid w:val="00ED30F2"/>
    <w:rsid w:val="00ED65CD"/>
    <w:rsid w:val="00ED7165"/>
    <w:rsid w:val="00F0101A"/>
    <w:rsid w:val="00F04198"/>
    <w:rsid w:val="00F066DB"/>
    <w:rsid w:val="00F06D4D"/>
    <w:rsid w:val="00F216D6"/>
    <w:rsid w:val="00F2235A"/>
    <w:rsid w:val="00F36B28"/>
    <w:rsid w:val="00F54108"/>
    <w:rsid w:val="00F67A51"/>
    <w:rsid w:val="00F70B6F"/>
    <w:rsid w:val="00F80F36"/>
    <w:rsid w:val="00F81E7C"/>
    <w:rsid w:val="00FA7BC0"/>
    <w:rsid w:val="00FB5D64"/>
    <w:rsid w:val="00FB6BEB"/>
    <w:rsid w:val="00FC3B73"/>
    <w:rsid w:val="00FD2F45"/>
    <w:rsid w:val="00FE199A"/>
    <w:rsid w:val="00FE269F"/>
    <w:rsid w:val="00FE2F98"/>
    <w:rsid w:val="00FE6C01"/>
    <w:rsid w:val="012F2443"/>
    <w:rsid w:val="01825488"/>
    <w:rsid w:val="018C0E03"/>
    <w:rsid w:val="01BA61B0"/>
    <w:rsid w:val="01BB516D"/>
    <w:rsid w:val="021B4775"/>
    <w:rsid w:val="02BA0F2C"/>
    <w:rsid w:val="037979A5"/>
    <w:rsid w:val="03CB3F9B"/>
    <w:rsid w:val="03D42F29"/>
    <w:rsid w:val="03D83EDB"/>
    <w:rsid w:val="03E47515"/>
    <w:rsid w:val="03F359AA"/>
    <w:rsid w:val="045521C0"/>
    <w:rsid w:val="049814E0"/>
    <w:rsid w:val="053B0618"/>
    <w:rsid w:val="05672E13"/>
    <w:rsid w:val="057C19CF"/>
    <w:rsid w:val="05DB7E97"/>
    <w:rsid w:val="06836769"/>
    <w:rsid w:val="06EA0626"/>
    <w:rsid w:val="06ED06D9"/>
    <w:rsid w:val="088A7F5F"/>
    <w:rsid w:val="089A4646"/>
    <w:rsid w:val="08A95854"/>
    <w:rsid w:val="08BD7FAD"/>
    <w:rsid w:val="08CF6958"/>
    <w:rsid w:val="090827CD"/>
    <w:rsid w:val="094C6326"/>
    <w:rsid w:val="09D81E8C"/>
    <w:rsid w:val="0A0F696E"/>
    <w:rsid w:val="0A1102E2"/>
    <w:rsid w:val="0A480B9C"/>
    <w:rsid w:val="0B4524FB"/>
    <w:rsid w:val="0BE5112D"/>
    <w:rsid w:val="0BF57DE5"/>
    <w:rsid w:val="0C2F4039"/>
    <w:rsid w:val="0C470F50"/>
    <w:rsid w:val="0C5E57C4"/>
    <w:rsid w:val="0C676F35"/>
    <w:rsid w:val="0D354400"/>
    <w:rsid w:val="0D742563"/>
    <w:rsid w:val="0DDE4FD5"/>
    <w:rsid w:val="0DE10621"/>
    <w:rsid w:val="0E3A4297"/>
    <w:rsid w:val="0E527771"/>
    <w:rsid w:val="0E963B01"/>
    <w:rsid w:val="0EA855E3"/>
    <w:rsid w:val="0EB06D04"/>
    <w:rsid w:val="0EE77A81"/>
    <w:rsid w:val="0F220B1B"/>
    <w:rsid w:val="0F2664F6"/>
    <w:rsid w:val="0F277E39"/>
    <w:rsid w:val="0FE268D2"/>
    <w:rsid w:val="103510F8"/>
    <w:rsid w:val="107365F0"/>
    <w:rsid w:val="107B2A34"/>
    <w:rsid w:val="1109680C"/>
    <w:rsid w:val="11296A34"/>
    <w:rsid w:val="117774DD"/>
    <w:rsid w:val="11D16BFE"/>
    <w:rsid w:val="12151156"/>
    <w:rsid w:val="12371157"/>
    <w:rsid w:val="128F4AEF"/>
    <w:rsid w:val="1293615E"/>
    <w:rsid w:val="137D5290"/>
    <w:rsid w:val="13983E78"/>
    <w:rsid w:val="143815AA"/>
    <w:rsid w:val="14401B9A"/>
    <w:rsid w:val="14E45A3A"/>
    <w:rsid w:val="14E86739"/>
    <w:rsid w:val="14F00C9E"/>
    <w:rsid w:val="151A4A2D"/>
    <w:rsid w:val="159B7C4F"/>
    <w:rsid w:val="15BD5E17"/>
    <w:rsid w:val="160C46A9"/>
    <w:rsid w:val="165A3666"/>
    <w:rsid w:val="174314C9"/>
    <w:rsid w:val="174707F2"/>
    <w:rsid w:val="1773377D"/>
    <w:rsid w:val="18DE360D"/>
    <w:rsid w:val="19807C1E"/>
    <w:rsid w:val="19AF1F1B"/>
    <w:rsid w:val="19F811CC"/>
    <w:rsid w:val="1A676352"/>
    <w:rsid w:val="1AE856E5"/>
    <w:rsid w:val="1B1B78AF"/>
    <w:rsid w:val="1B776A68"/>
    <w:rsid w:val="1BCB46BE"/>
    <w:rsid w:val="1C0C42AF"/>
    <w:rsid w:val="1C2370E7"/>
    <w:rsid w:val="1C9D605B"/>
    <w:rsid w:val="1CD6156D"/>
    <w:rsid w:val="1DD27F86"/>
    <w:rsid w:val="1F2B35EE"/>
    <w:rsid w:val="20250841"/>
    <w:rsid w:val="212E7BC9"/>
    <w:rsid w:val="21FA7AAB"/>
    <w:rsid w:val="22566075"/>
    <w:rsid w:val="2291000C"/>
    <w:rsid w:val="22E63BAE"/>
    <w:rsid w:val="23737B15"/>
    <w:rsid w:val="244514B2"/>
    <w:rsid w:val="25140F7F"/>
    <w:rsid w:val="25761B3F"/>
    <w:rsid w:val="260E79F5"/>
    <w:rsid w:val="272C6959"/>
    <w:rsid w:val="276460F3"/>
    <w:rsid w:val="27BB03A7"/>
    <w:rsid w:val="27F616E4"/>
    <w:rsid w:val="28EF7C3E"/>
    <w:rsid w:val="29114058"/>
    <w:rsid w:val="29224275"/>
    <w:rsid w:val="29657F00"/>
    <w:rsid w:val="296A1CA7"/>
    <w:rsid w:val="29A808D0"/>
    <w:rsid w:val="29D4444C"/>
    <w:rsid w:val="29D924F1"/>
    <w:rsid w:val="2A1536D4"/>
    <w:rsid w:val="2B3B53BD"/>
    <w:rsid w:val="2BB60EE7"/>
    <w:rsid w:val="2BE32FF5"/>
    <w:rsid w:val="2BEC6A86"/>
    <w:rsid w:val="2C932FD6"/>
    <w:rsid w:val="2D4542D1"/>
    <w:rsid w:val="2DE7410E"/>
    <w:rsid w:val="2E6855F6"/>
    <w:rsid w:val="2EBC4560"/>
    <w:rsid w:val="2F372E8E"/>
    <w:rsid w:val="2F792957"/>
    <w:rsid w:val="2F9C6646"/>
    <w:rsid w:val="30AB223A"/>
    <w:rsid w:val="30BA4FD6"/>
    <w:rsid w:val="31104BF6"/>
    <w:rsid w:val="31523460"/>
    <w:rsid w:val="31684A32"/>
    <w:rsid w:val="31DB583A"/>
    <w:rsid w:val="33370B5F"/>
    <w:rsid w:val="333C43C8"/>
    <w:rsid w:val="33941B0E"/>
    <w:rsid w:val="34034EE6"/>
    <w:rsid w:val="34140EA1"/>
    <w:rsid w:val="35154ED0"/>
    <w:rsid w:val="353A4937"/>
    <w:rsid w:val="35D5640E"/>
    <w:rsid w:val="361D67FF"/>
    <w:rsid w:val="36FD6C55"/>
    <w:rsid w:val="37621F23"/>
    <w:rsid w:val="37BF6F64"/>
    <w:rsid w:val="37D42E21"/>
    <w:rsid w:val="3836588A"/>
    <w:rsid w:val="38606463"/>
    <w:rsid w:val="38B14F10"/>
    <w:rsid w:val="38C74734"/>
    <w:rsid w:val="393C6ED0"/>
    <w:rsid w:val="39B5458C"/>
    <w:rsid w:val="3A934624"/>
    <w:rsid w:val="3AAF3FCD"/>
    <w:rsid w:val="3ACF72AE"/>
    <w:rsid w:val="3B190B4B"/>
    <w:rsid w:val="3B6E0E96"/>
    <w:rsid w:val="3B844B5E"/>
    <w:rsid w:val="3CB71834"/>
    <w:rsid w:val="3D0A1093"/>
    <w:rsid w:val="3EC05EAD"/>
    <w:rsid w:val="3F367F1D"/>
    <w:rsid w:val="3F674CB6"/>
    <w:rsid w:val="3FCC6AD3"/>
    <w:rsid w:val="41432DC5"/>
    <w:rsid w:val="41E974C9"/>
    <w:rsid w:val="42162288"/>
    <w:rsid w:val="437600FE"/>
    <w:rsid w:val="43A538C3"/>
    <w:rsid w:val="443864E5"/>
    <w:rsid w:val="44CB1108"/>
    <w:rsid w:val="4538077D"/>
    <w:rsid w:val="4556401B"/>
    <w:rsid w:val="468C14EB"/>
    <w:rsid w:val="46E1485D"/>
    <w:rsid w:val="46E22739"/>
    <w:rsid w:val="46F33CD1"/>
    <w:rsid w:val="47590C4D"/>
    <w:rsid w:val="47A94056"/>
    <w:rsid w:val="480F1C53"/>
    <w:rsid w:val="482E032B"/>
    <w:rsid w:val="485D3817"/>
    <w:rsid w:val="486C0E54"/>
    <w:rsid w:val="487216E8"/>
    <w:rsid w:val="492F0B49"/>
    <w:rsid w:val="493C0826"/>
    <w:rsid w:val="4A3414FD"/>
    <w:rsid w:val="4AD14F9E"/>
    <w:rsid w:val="4AD44F71"/>
    <w:rsid w:val="4AE03433"/>
    <w:rsid w:val="4B685203"/>
    <w:rsid w:val="4D0C49B3"/>
    <w:rsid w:val="4D703FFF"/>
    <w:rsid w:val="4D73233C"/>
    <w:rsid w:val="4E6D3574"/>
    <w:rsid w:val="4E7A7D39"/>
    <w:rsid w:val="4E8011B5"/>
    <w:rsid w:val="4F0771E0"/>
    <w:rsid w:val="4F2F3FA1"/>
    <w:rsid w:val="4F624D5E"/>
    <w:rsid w:val="4F674123"/>
    <w:rsid w:val="4FF82FCD"/>
    <w:rsid w:val="50146059"/>
    <w:rsid w:val="50441F68"/>
    <w:rsid w:val="50746AF7"/>
    <w:rsid w:val="51022355"/>
    <w:rsid w:val="51112598"/>
    <w:rsid w:val="51750D79"/>
    <w:rsid w:val="53C05F5A"/>
    <w:rsid w:val="541008E5"/>
    <w:rsid w:val="54216F96"/>
    <w:rsid w:val="5471046A"/>
    <w:rsid w:val="54FC355F"/>
    <w:rsid w:val="55053EE7"/>
    <w:rsid w:val="55597ADB"/>
    <w:rsid w:val="56625644"/>
    <w:rsid w:val="570E431B"/>
    <w:rsid w:val="573009E7"/>
    <w:rsid w:val="573174F0"/>
    <w:rsid w:val="57AE6D93"/>
    <w:rsid w:val="57DB161B"/>
    <w:rsid w:val="582B090E"/>
    <w:rsid w:val="584512B8"/>
    <w:rsid w:val="58D345D7"/>
    <w:rsid w:val="59A0095D"/>
    <w:rsid w:val="59B166C6"/>
    <w:rsid w:val="59D23552"/>
    <w:rsid w:val="5A7D47FA"/>
    <w:rsid w:val="5AAE2C06"/>
    <w:rsid w:val="5AB87F28"/>
    <w:rsid w:val="5B750AF9"/>
    <w:rsid w:val="5B9462A0"/>
    <w:rsid w:val="5C2C472A"/>
    <w:rsid w:val="5C6043D4"/>
    <w:rsid w:val="5C841E70"/>
    <w:rsid w:val="5CAB1AF3"/>
    <w:rsid w:val="5CBC3D00"/>
    <w:rsid w:val="5E1C691D"/>
    <w:rsid w:val="5E5D6E1D"/>
    <w:rsid w:val="5F816B3B"/>
    <w:rsid w:val="600608C4"/>
    <w:rsid w:val="60067040"/>
    <w:rsid w:val="604D0DD3"/>
    <w:rsid w:val="607945BC"/>
    <w:rsid w:val="60844B35"/>
    <w:rsid w:val="609B3C2C"/>
    <w:rsid w:val="617050B9"/>
    <w:rsid w:val="61D145ED"/>
    <w:rsid w:val="61D20F2B"/>
    <w:rsid w:val="62137B25"/>
    <w:rsid w:val="628C5F22"/>
    <w:rsid w:val="6292739D"/>
    <w:rsid w:val="62D376AD"/>
    <w:rsid w:val="62E03578"/>
    <w:rsid w:val="63414F5F"/>
    <w:rsid w:val="637160AB"/>
    <w:rsid w:val="63BC6393"/>
    <w:rsid w:val="64882719"/>
    <w:rsid w:val="65BC6B1F"/>
    <w:rsid w:val="65E44D4C"/>
    <w:rsid w:val="65F067C8"/>
    <w:rsid w:val="65F76563"/>
    <w:rsid w:val="66291CDA"/>
    <w:rsid w:val="668D6ECC"/>
    <w:rsid w:val="66A355E9"/>
    <w:rsid w:val="6739419F"/>
    <w:rsid w:val="675B4B07"/>
    <w:rsid w:val="677376B1"/>
    <w:rsid w:val="679B2764"/>
    <w:rsid w:val="691722BE"/>
    <w:rsid w:val="69BC750D"/>
    <w:rsid w:val="69E7708D"/>
    <w:rsid w:val="6A415844"/>
    <w:rsid w:val="6B3929BF"/>
    <w:rsid w:val="6C57134F"/>
    <w:rsid w:val="6C9F2CF6"/>
    <w:rsid w:val="6D1E00BF"/>
    <w:rsid w:val="6E006A52"/>
    <w:rsid w:val="6E0472B5"/>
    <w:rsid w:val="6EA939B8"/>
    <w:rsid w:val="6F5F177E"/>
    <w:rsid w:val="6F865AA7"/>
    <w:rsid w:val="6FD97A1B"/>
    <w:rsid w:val="6FE32EFA"/>
    <w:rsid w:val="709E186B"/>
    <w:rsid w:val="70A1703D"/>
    <w:rsid w:val="70AF61D1"/>
    <w:rsid w:val="70BA3C5B"/>
    <w:rsid w:val="70C079E5"/>
    <w:rsid w:val="70CB21E7"/>
    <w:rsid w:val="70FA499F"/>
    <w:rsid w:val="714479C8"/>
    <w:rsid w:val="714D7E5F"/>
    <w:rsid w:val="716F713B"/>
    <w:rsid w:val="72DD6326"/>
    <w:rsid w:val="732E23F9"/>
    <w:rsid w:val="746D19CA"/>
    <w:rsid w:val="74D10EC7"/>
    <w:rsid w:val="757E170D"/>
    <w:rsid w:val="75970A0E"/>
    <w:rsid w:val="75DE3F93"/>
    <w:rsid w:val="76236746"/>
    <w:rsid w:val="76317F9B"/>
    <w:rsid w:val="76375D4D"/>
    <w:rsid w:val="76B86E8E"/>
    <w:rsid w:val="76EF1997"/>
    <w:rsid w:val="76FD6F97"/>
    <w:rsid w:val="770D4C48"/>
    <w:rsid w:val="77534E09"/>
    <w:rsid w:val="77F43101"/>
    <w:rsid w:val="78085BF3"/>
    <w:rsid w:val="7856695F"/>
    <w:rsid w:val="79314CD6"/>
    <w:rsid w:val="794C38BE"/>
    <w:rsid w:val="79996046"/>
    <w:rsid w:val="79C67FF1"/>
    <w:rsid w:val="7AEA5A84"/>
    <w:rsid w:val="7B256ABC"/>
    <w:rsid w:val="7B79577B"/>
    <w:rsid w:val="7CE56BFB"/>
    <w:rsid w:val="7CFE1373"/>
    <w:rsid w:val="7D80447E"/>
    <w:rsid w:val="7E0A649D"/>
    <w:rsid w:val="7EF97CE5"/>
    <w:rsid w:val="7F2D4191"/>
    <w:rsid w:val="7F517A47"/>
    <w:rsid w:val="7FA6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qFormat="1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qFormat="1" w:unhideWhenUsed="0" w:uiPriority="0" w:semiHidden="0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仿宋_GB2312" w:hAnsi="Times New Roman" w:eastAsia="仿宋_GB2312" w:cs="Times New Roman"/>
      <w:szCs w:val="36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0"/>
    <w:pPr>
      <w:spacing w:before="120"/>
    </w:pPr>
    <w:rPr>
      <w:rFonts w:ascii="Arial" w:hAnsi="Arial" w:eastAsia="宋体" w:cs="Arial"/>
      <w:sz w:val="24"/>
    </w:rPr>
  </w:style>
  <w:style w:type="paragraph" w:styleId="3">
    <w:name w:val="Body Text Indent"/>
    <w:basedOn w:val="1"/>
    <w:next w:val="1"/>
    <w:unhideWhenUsed/>
    <w:qFormat/>
    <w:uiPriority w:val="99"/>
    <w:pPr>
      <w:spacing w:after="120"/>
      <w:ind w:left="420" w:leftChars="200"/>
    </w:pPr>
  </w:style>
  <w:style w:type="paragraph" w:styleId="4">
    <w:name w:val="Balloon Text"/>
    <w:basedOn w:val="1"/>
    <w:link w:val="15"/>
    <w:unhideWhenUsed/>
    <w:qFormat/>
    <w:uiPriority w:val="99"/>
    <w:rPr>
      <w:sz w:val="18"/>
      <w:szCs w:val="18"/>
      <w:lang w:val="zh-CN" w:eastAsia="zh-CN"/>
    </w:rPr>
  </w:style>
  <w:style w:type="paragraph" w:styleId="5">
    <w:name w:val="footer"/>
    <w:basedOn w:val="1"/>
    <w:link w:val="16"/>
    <w:unhideWhenUsed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  <w:lang w:val="zh-CN" w:eastAsia="zh-CN"/>
    </w:rPr>
  </w:style>
  <w:style w:type="paragraph" w:styleId="6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 w:eastAsia="zh-CN"/>
    </w:rPr>
  </w:style>
  <w:style w:type="paragraph" w:styleId="7">
    <w:name w:val="index 9"/>
    <w:basedOn w:val="1"/>
    <w:next w:val="1"/>
    <w:unhideWhenUsed/>
    <w:qFormat/>
    <w:uiPriority w:val="99"/>
    <w:pPr>
      <w:spacing w:before="100" w:beforeAutospacing="1" w:after="100" w:afterAutospacing="1"/>
      <w:ind w:left="1600" w:leftChars="1600"/>
    </w:pPr>
  </w:style>
  <w:style w:type="paragraph" w:styleId="8">
    <w:name w:val="Normal (Web)"/>
    <w:basedOn w:val="1"/>
    <w:qFormat/>
    <w:uiPriority w:val="99"/>
    <w:pPr>
      <w:widowControl w:val="0"/>
      <w:spacing w:beforeAutospacing="1" w:afterAutospacing="1" w:line="360" w:lineRule="auto"/>
    </w:pPr>
    <w:rPr>
      <w:rFonts w:ascii="Calibri" w:hAnsi="Calibri" w:eastAsia="宋体"/>
      <w:sz w:val="24"/>
      <w:szCs w:val="24"/>
    </w:rPr>
  </w:style>
  <w:style w:type="table" w:styleId="10">
    <w:name w:val="Table Grid"/>
    <w:basedOn w:val="9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qFormat/>
    <w:uiPriority w:val="0"/>
  </w:style>
  <w:style w:type="character" w:styleId="13">
    <w:name w:val="Hyperlink"/>
    <w:basedOn w:val="11"/>
    <w:semiHidden/>
    <w:unhideWhenUsed/>
    <w:qFormat/>
    <w:uiPriority w:val="99"/>
    <w:rPr>
      <w:color w:val="0000FF"/>
      <w:u w:val="single"/>
    </w:rPr>
  </w:style>
  <w:style w:type="character" w:customStyle="1" w:styleId="14">
    <w:name w:val="页眉 字符"/>
    <w:link w:val="6"/>
    <w:qFormat/>
    <w:uiPriority w:val="99"/>
    <w:rPr>
      <w:sz w:val="18"/>
      <w:szCs w:val="18"/>
    </w:rPr>
  </w:style>
  <w:style w:type="character" w:customStyle="1" w:styleId="15">
    <w:name w:val="批注框文本 字符"/>
    <w:link w:val="4"/>
    <w:semiHidden/>
    <w:qFormat/>
    <w:uiPriority w:val="99"/>
    <w:rPr>
      <w:sz w:val="18"/>
      <w:szCs w:val="18"/>
    </w:rPr>
  </w:style>
  <w:style w:type="character" w:customStyle="1" w:styleId="16">
    <w:name w:val="页脚 字符1"/>
    <w:link w:val="5"/>
    <w:qFormat/>
    <w:uiPriority w:val="0"/>
    <w:rPr>
      <w:sz w:val="18"/>
      <w:szCs w:val="18"/>
    </w:rPr>
  </w:style>
  <w:style w:type="paragraph" w:customStyle="1" w:styleId="17">
    <w:name w:val="p0"/>
    <w:basedOn w:val="1"/>
    <w:qFormat/>
    <w:uiPriority w:val="0"/>
    <w:pPr>
      <w:spacing w:before="100" w:beforeAutospacing="1" w:after="100" w:afterAutospacing="1" w:line="432" w:lineRule="atLeast"/>
    </w:pPr>
    <w:rPr>
      <w:rFonts w:ascii="宋体" w:hAnsi="宋体" w:eastAsia="宋体" w:cs="宋体"/>
      <w:sz w:val="24"/>
      <w:szCs w:val="24"/>
    </w:rPr>
  </w:style>
  <w:style w:type="paragraph" w:customStyle="1" w:styleId="18">
    <w:name w:val="普通(网站)1"/>
    <w:basedOn w:val="1"/>
    <w:qFormat/>
    <w:uiPriority w:val="0"/>
    <w:pPr>
      <w:spacing w:before="100" w:beforeAutospacing="1" w:after="100" w:afterAutospacing="1"/>
    </w:pPr>
    <w:rPr>
      <w:rFonts w:ascii="宋体" w:hAnsi="宋体" w:eastAsia="宋体"/>
      <w:sz w:val="24"/>
      <w:szCs w:val="22"/>
    </w:rPr>
  </w:style>
  <w:style w:type="paragraph" w:customStyle="1" w:styleId="19">
    <w:name w:val="列出段落1"/>
    <w:basedOn w:val="1"/>
    <w:qFormat/>
    <w:uiPriority w:val="0"/>
    <w:pPr>
      <w:widowControl w:val="0"/>
      <w:ind w:firstLine="420" w:firstLineChars="200"/>
      <w:jc w:val="both"/>
    </w:pPr>
    <w:rPr>
      <w:rFonts w:ascii="Times New Roman" w:eastAsia="宋体"/>
      <w:kern w:val="2"/>
      <w:sz w:val="21"/>
      <w:szCs w:val="21"/>
    </w:rPr>
  </w:style>
  <w:style w:type="character" w:customStyle="1" w:styleId="20">
    <w:name w:val="页脚 字符"/>
    <w:qFormat/>
    <w:uiPriority w:val="99"/>
    <w:rPr>
      <w:sz w:val="18"/>
      <w:szCs w:val="18"/>
    </w:rPr>
  </w:style>
  <w:style w:type="paragraph" w:customStyle="1" w:styleId="21">
    <w:name w:val="Other|1"/>
    <w:basedOn w:val="1"/>
    <w:qFormat/>
    <w:uiPriority w:val="0"/>
    <w:pPr>
      <w:widowControl w:val="0"/>
      <w:spacing w:line="410" w:lineRule="auto"/>
      <w:ind w:firstLine="400"/>
    </w:pPr>
    <w:rPr>
      <w:rFonts w:ascii="宋体" w:hAnsi="宋体" w:eastAsia="宋体" w:cs="宋体"/>
      <w:color w:val="000000"/>
      <w:sz w:val="30"/>
      <w:szCs w:val="30"/>
      <w:lang w:val="zh-TW" w:eastAsia="zh-TW" w:bidi="zh-TW"/>
    </w:rPr>
  </w:style>
  <w:style w:type="paragraph" w:customStyle="1" w:styleId="22">
    <w:name w:val="Body text|1"/>
    <w:basedOn w:val="1"/>
    <w:qFormat/>
    <w:uiPriority w:val="0"/>
    <w:pPr>
      <w:widowControl w:val="0"/>
      <w:spacing w:line="410" w:lineRule="auto"/>
      <w:ind w:firstLine="400"/>
    </w:pPr>
    <w:rPr>
      <w:rFonts w:ascii="宋体" w:hAnsi="宋体" w:eastAsia="宋体" w:cs="宋体"/>
      <w:color w:val="000000"/>
      <w:sz w:val="30"/>
      <w:szCs w:val="30"/>
      <w:lang w:val="zh-TW" w:eastAsia="zh-TW" w:bidi="zh-TW"/>
    </w:rPr>
  </w:style>
  <w:style w:type="paragraph" w:styleId="23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4">
    <w:name w:val="List Paragraph"/>
    <w:basedOn w:val="1"/>
    <w:autoRedefine/>
    <w:qFormat/>
    <w:uiPriority w:val="34"/>
    <w:pPr>
      <w:ind w:firstLine="420" w:firstLineChars="200"/>
    </w:pPr>
  </w:style>
  <w:style w:type="paragraph" w:customStyle="1" w:styleId="25">
    <w:name w:val="null5"/>
    <w:hidden/>
    <w:qFormat/>
    <w:uiPriority w:val="0"/>
    <w:rPr>
      <w:rFonts w:hint="eastAsia" w:asciiTheme="minorHAnsi" w:hAnsiTheme="minorHAnsi" w:eastAsiaTheme="minorEastAsia" w:cstheme="minorBidi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16A4480-D02E-4F5C-BB25-7D4A8B5C26D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sdnu</Company>
  <Pages>8</Pages>
  <Words>3891</Words>
  <Characters>4528</Characters>
  <Lines>5</Lines>
  <Paragraphs>1</Paragraphs>
  <TotalTime>89</TotalTime>
  <ScaleCrop>false</ScaleCrop>
  <LinksUpToDate>false</LinksUpToDate>
  <CharactersWithSpaces>4539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2022-03-09T09:39:00Z</dcterms:created>
  <dc:creator>wangsong</dc:creator>
  <cp:lastModifiedBy>lenovo</cp:lastModifiedBy>
  <cp:lastPrinted>2019-06-19T06:00:00Z</cp:lastPrinted>
  <dcterms:modified xsi:type="dcterms:W3CDTF">2026-08-14T08:24:58Z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5E6DAA1A41E3442EBDE0EA1D982501C0_13</vt:lpwstr>
  </property>
  <property fmtid="{D5CDD505-2E9C-101B-9397-08002B2CF9AE}" pid="4" name="KSOTemplateDocerSaveRecord">
    <vt:lpwstr>eyJoZGlkIjoiZTZiYWFkODJjYjQ5YjQxZGZhZGNkOTgwZGM0ZmY2ZTUiLCJ1c2VySWQiOiI5MDk3ODE1NTEifQ==</vt:lpwstr>
  </property>
</Properties>
</file>