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0DC7B">
      <w:pPr>
        <w:widowControl w:val="0"/>
        <w:overflowPunct w:val="0"/>
        <w:spacing w:line="360" w:lineRule="auto"/>
        <w:jc w:val="center"/>
        <w:textAlignment w:val="auto"/>
        <w:rPr>
          <w:rFonts w:hint="eastAsia" w:ascii="宋体" w:hAnsi="宋体" w:eastAsia="宋体" w:cs="宋体"/>
          <w:b/>
          <w:bCs/>
          <w:color w:val="auto"/>
          <w:spacing w:val="20"/>
          <w:sz w:val="40"/>
          <w:szCs w:val="40"/>
          <w:highlight w:val="none"/>
        </w:rPr>
      </w:pPr>
      <w:r>
        <w:rPr>
          <w:rFonts w:hint="eastAsia" w:ascii="宋体" w:hAnsi="宋体" w:eastAsia="宋体" w:cs="宋体"/>
          <w:b/>
          <w:bCs/>
          <w:color w:val="auto"/>
          <w:spacing w:val="20"/>
          <w:sz w:val="40"/>
          <w:szCs w:val="40"/>
          <w:highlight w:val="none"/>
        </w:rPr>
        <w:t>山东师范大学招标采购项目需求公示表</w:t>
      </w:r>
    </w:p>
    <w:p w14:paraId="1B47094B">
      <w:pPr>
        <w:rPr>
          <w:rFonts w:hint="default"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rPr>
        <w:t>编号:</w:t>
      </w:r>
      <w:r>
        <w:rPr>
          <w:rFonts w:hint="eastAsia" w:ascii="宋体" w:hAnsi="宋体" w:eastAsia="宋体" w:cs="宋体"/>
          <w:b/>
          <w:color w:val="auto"/>
          <w:sz w:val="24"/>
          <w:szCs w:val="24"/>
          <w:highlight w:val="none"/>
          <w:lang w:val="en-US" w:eastAsia="zh-CN"/>
        </w:rPr>
        <w:t xml:space="preserve"> SDSL-2026-212</w:t>
      </w:r>
    </w:p>
    <w:tbl>
      <w:tblPr>
        <w:tblStyle w:val="10"/>
        <w:tblW w:w="13812"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72"/>
        <w:gridCol w:w="2915"/>
        <w:gridCol w:w="1121"/>
        <w:gridCol w:w="1677"/>
        <w:gridCol w:w="1950"/>
        <w:gridCol w:w="2387"/>
        <w:gridCol w:w="2790"/>
      </w:tblGrid>
      <w:tr w14:paraId="13C9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13812" w:type="dxa"/>
            <w:gridSpan w:val="7"/>
            <w:shd w:val="clear" w:color="auto" w:fill="FFFFFF"/>
            <w:vAlign w:val="center"/>
          </w:tcPr>
          <w:p w14:paraId="0F3C34FA">
            <w:pPr>
              <w:pStyle w:val="22"/>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8"/>
                <w:szCs w:val="28"/>
                <w:highlight w:val="none"/>
              </w:rPr>
              <w:t>基本情况</w:t>
            </w:r>
          </w:p>
        </w:tc>
      </w:tr>
      <w:tr w14:paraId="73713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887" w:type="dxa"/>
            <w:gridSpan w:val="2"/>
            <w:shd w:val="clear" w:color="auto" w:fill="FFFFFF"/>
            <w:vAlign w:val="center"/>
          </w:tcPr>
          <w:p w14:paraId="230B2D39">
            <w:pPr>
              <w:pStyle w:val="23"/>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项目名称</w:t>
            </w:r>
          </w:p>
        </w:tc>
        <w:tc>
          <w:tcPr>
            <w:tcW w:w="9925" w:type="dxa"/>
            <w:gridSpan w:val="5"/>
            <w:shd w:val="clear" w:color="auto" w:fill="FFFFFF"/>
            <w:vAlign w:val="center"/>
          </w:tcPr>
          <w:p w14:paraId="7ED2AE2F">
            <w:pPr>
              <w:pStyle w:val="23"/>
              <w:overflowPunct w:val="0"/>
              <w:spacing w:line="400" w:lineRule="exact"/>
              <w:ind w:firstLine="0" w:firstLineChars="0"/>
              <w:jc w:val="both"/>
              <w:rPr>
                <w:rFonts w:hint="eastAsia" w:ascii="宋体" w:hAnsi="宋体" w:eastAsia="宋体" w:cs="宋体"/>
                <w:color w:val="auto"/>
                <w:sz w:val="24"/>
                <w:szCs w:val="24"/>
                <w:highlight w:val="none"/>
                <w:lang w:eastAsia="zh-CN"/>
              </w:rPr>
            </w:pPr>
            <w:r>
              <w:rPr>
                <w:rFonts w:hint="eastAsia"/>
                <w:bCs/>
                <w:color w:val="auto"/>
                <w:sz w:val="24"/>
                <w:highlight w:val="none"/>
                <w:lang w:eastAsia="zh-CN"/>
              </w:rPr>
              <w:t>山东师范大学2026年新闻与传媒学院4K COMS 直播摄像机集群采购项目</w:t>
            </w:r>
          </w:p>
        </w:tc>
      </w:tr>
      <w:tr w14:paraId="2BA1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887" w:type="dxa"/>
            <w:gridSpan w:val="2"/>
            <w:shd w:val="clear" w:color="auto" w:fill="FFFFFF"/>
            <w:vAlign w:val="center"/>
          </w:tcPr>
          <w:p w14:paraId="584CF049">
            <w:pPr>
              <w:pStyle w:val="23"/>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项目主管单位</w:t>
            </w:r>
          </w:p>
        </w:tc>
        <w:tc>
          <w:tcPr>
            <w:tcW w:w="9925" w:type="dxa"/>
            <w:gridSpan w:val="5"/>
            <w:shd w:val="clear" w:color="auto" w:fill="FFFFFF"/>
            <w:vAlign w:val="center"/>
          </w:tcPr>
          <w:p w14:paraId="1AAAF5B7">
            <w:pPr>
              <w:pStyle w:val="23"/>
              <w:overflowPunct w:val="0"/>
              <w:spacing w:line="400" w:lineRule="exact"/>
              <w:ind w:firstLine="0" w:firstLineChars="0"/>
              <w:jc w:val="both"/>
              <w:rPr>
                <w:rFonts w:hint="eastAsia" w:ascii="宋体" w:hAnsi="宋体" w:eastAsia="宋体" w:cs="宋体"/>
                <w:color w:val="auto"/>
                <w:sz w:val="24"/>
                <w:szCs w:val="24"/>
                <w:highlight w:val="none"/>
                <w:lang w:eastAsia="zh-CN"/>
              </w:rPr>
            </w:pPr>
            <w:r>
              <w:rPr>
                <w:rFonts w:hint="eastAsia"/>
                <w:bCs/>
                <w:color w:val="auto"/>
                <w:sz w:val="24"/>
                <w:highlight w:val="none"/>
                <w:lang w:eastAsia="zh-CN"/>
              </w:rPr>
              <w:t>新闻与传媒学院</w:t>
            </w:r>
          </w:p>
        </w:tc>
      </w:tr>
      <w:tr w14:paraId="2F31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887" w:type="dxa"/>
            <w:gridSpan w:val="2"/>
            <w:shd w:val="clear" w:color="auto" w:fill="FFFFFF"/>
            <w:vAlign w:val="center"/>
          </w:tcPr>
          <w:p w14:paraId="627F65E3">
            <w:pPr>
              <w:pStyle w:val="23"/>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第三方咨询服务单位</w:t>
            </w:r>
          </w:p>
        </w:tc>
        <w:tc>
          <w:tcPr>
            <w:tcW w:w="9925" w:type="dxa"/>
            <w:gridSpan w:val="5"/>
            <w:shd w:val="clear" w:color="auto" w:fill="FFFFFF"/>
            <w:vAlign w:val="center"/>
          </w:tcPr>
          <w:p w14:paraId="4C7492D3">
            <w:pPr>
              <w:pStyle w:val="23"/>
              <w:overflowPunct w:val="0"/>
              <w:spacing w:line="400" w:lineRule="exact"/>
              <w:ind w:firstLine="0" w:firstLineChars="0"/>
              <w:jc w:val="both"/>
              <w:rPr>
                <w:rFonts w:hint="eastAsia" w:ascii="宋体" w:hAnsi="宋体" w:eastAsia="宋体" w:cs="宋体"/>
                <w:color w:val="auto"/>
                <w:sz w:val="24"/>
                <w:szCs w:val="24"/>
                <w:highlight w:val="none"/>
              </w:rPr>
            </w:pPr>
            <w:r>
              <w:rPr>
                <w:bCs/>
                <w:color w:val="auto"/>
                <w:sz w:val="24"/>
                <w:highlight w:val="none"/>
              </w:rPr>
              <w:t>山东善立招标有限公司</w:t>
            </w:r>
          </w:p>
        </w:tc>
      </w:tr>
      <w:tr w14:paraId="44B5B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13812" w:type="dxa"/>
            <w:gridSpan w:val="7"/>
            <w:shd w:val="clear" w:color="auto" w:fill="FFFFFF"/>
            <w:vAlign w:val="center"/>
          </w:tcPr>
          <w:p w14:paraId="1B4517FB">
            <w:pPr>
              <w:pStyle w:val="23"/>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center"/>
              <w:rPr>
                <w:rFonts w:hint="eastAsia" w:ascii="宋体" w:hAnsi="宋体" w:eastAsia="宋体" w:cs="宋体"/>
                <w:color w:val="auto"/>
                <w:sz w:val="24"/>
                <w:szCs w:val="24"/>
                <w:highlight w:val="none"/>
                <w:lang w:val="en-US" w:bidi="en-US"/>
              </w:rPr>
            </w:pPr>
            <w:r>
              <w:rPr>
                <w:rFonts w:hint="eastAsia" w:ascii="宋体" w:hAnsi="宋体" w:eastAsia="宋体" w:cs="宋体"/>
                <w:b/>
                <w:bCs/>
                <w:color w:val="auto"/>
                <w:sz w:val="28"/>
                <w:szCs w:val="28"/>
                <w:highlight w:val="none"/>
              </w:rPr>
              <w:t>项目信息</w:t>
            </w:r>
          </w:p>
        </w:tc>
      </w:tr>
      <w:tr w14:paraId="787BE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972" w:type="dxa"/>
            <w:shd w:val="clear" w:color="auto" w:fill="FFFFFF"/>
            <w:vAlign w:val="center"/>
          </w:tcPr>
          <w:p w14:paraId="096D39B9">
            <w:pPr>
              <w:pStyle w:val="2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包号</w:t>
            </w:r>
          </w:p>
        </w:tc>
        <w:tc>
          <w:tcPr>
            <w:tcW w:w="2915" w:type="dxa"/>
            <w:shd w:val="clear" w:color="auto" w:fill="FFFFFF"/>
            <w:vAlign w:val="center"/>
          </w:tcPr>
          <w:p w14:paraId="3E4C30D2">
            <w:pPr>
              <w:pStyle w:val="2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标的名称</w:t>
            </w:r>
          </w:p>
        </w:tc>
        <w:tc>
          <w:tcPr>
            <w:tcW w:w="1121" w:type="dxa"/>
            <w:shd w:val="clear" w:color="auto" w:fill="FFFFFF"/>
            <w:vAlign w:val="center"/>
          </w:tcPr>
          <w:p w14:paraId="0BF9AE20">
            <w:pPr>
              <w:pStyle w:val="2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1677" w:type="dxa"/>
            <w:shd w:val="clear" w:color="auto" w:fill="FFFFFF"/>
            <w:vAlign w:val="center"/>
          </w:tcPr>
          <w:p w14:paraId="0499C032">
            <w:pPr>
              <w:pStyle w:val="2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是否</w:t>
            </w:r>
            <w:r>
              <w:rPr>
                <w:rFonts w:hint="eastAsia" w:ascii="宋体" w:hAnsi="宋体" w:eastAsia="宋体" w:cs="宋体"/>
                <w:b/>
                <w:bCs/>
                <w:color w:val="auto"/>
                <w:sz w:val="24"/>
                <w:szCs w:val="24"/>
                <w:highlight w:val="none"/>
                <w:lang w:val="en-US" w:eastAsia="zh-CN"/>
              </w:rPr>
              <w:t>允许</w:t>
            </w:r>
            <w:r>
              <w:rPr>
                <w:rFonts w:hint="eastAsia" w:ascii="宋体" w:hAnsi="宋体" w:eastAsia="宋体" w:cs="宋体"/>
                <w:b/>
                <w:bCs/>
                <w:color w:val="auto"/>
                <w:sz w:val="24"/>
                <w:szCs w:val="24"/>
                <w:highlight w:val="none"/>
              </w:rPr>
              <w:t>进口</w:t>
            </w:r>
          </w:p>
        </w:tc>
        <w:tc>
          <w:tcPr>
            <w:tcW w:w="1950" w:type="dxa"/>
            <w:shd w:val="clear" w:color="auto" w:fill="FFFFFF"/>
            <w:vAlign w:val="center"/>
          </w:tcPr>
          <w:p w14:paraId="4E53281B">
            <w:pPr>
              <w:pStyle w:val="2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是否创新产品</w:t>
            </w:r>
          </w:p>
        </w:tc>
        <w:tc>
          <w:tcPr>
            <w:tcW w:w="2387" w:type="dxa"/>
            <w:shd w:val="clear" w:color="auto" w:fill="FFFFFF"/>
            <w:vAlign w:val="center"/>
          </w:tcPr>
          <w:p w14:paraId="6736731E">
            <w:pPr>
              <w:pStyle w:val="2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是否专门面向中小微或预留份额</w:t>
            </w:r>
          </w:p>
        </w:tc>
        <w:tc>
          <w:tcPr>
            <w:tcW w:w="2790" w:type="dxa"/>
            <w:shd w:val="clear" w:color="auto" w:fill="FFFFFF"/>
            <w:vAlign w:val="center"/>
          </w:tcPr>
          <w:p w14:paraId="0D72643B">
            <w:pPr>
              <w:pStyle w:val="2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预算金额（最高限价）</w:t>
            </w:r>
          </w:p>
        </w:tc>
      </w:tr>
      <w:tr w14:paraId="10227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4E0DA656">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2915" w:type="dxa"/>
            <w:shd w:val="clear" w:color="auto" w:fill="auto"/>
            <w:vAlign w:val="center"/>
          </w:tcPr>
          <w:p w14:paraId="4C003AF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4K超高清摄像机1</w:t>
            </w:r>
          </w:p>
        </w:tc>
        <w:tc>
          <w:tcPr>
            <w:tcW w:w="1121" w:type="dxa"/>
            <w:shd w:val="clear" w:color="auto" w:fill="FFFFFF"/>
            <w:vAlign w:val="center"/>
          </w:tcPr>
          <w:p w14:paraId="031A16C6">
            <w:pPr>
              <w:keepNext w:val="0"/>
              <w:keepLines w:val="0"/>
              <w:widowControl/>
              <w:suppressLineNumbers w:val="0"/>
              <w:jc w:val="center"/>
              <w:textAlignment w:val="center"/>
              <w:rPr>
                <w:rFonts w:hint="default"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77" w:type="dxa"/>
            <w:shd w:val="clear" w:color="auto" w:fill="FFFFFF"/>
            <w:vAlign w:val="center"/>
          </w:tcPr>
          <w:p w14:paraId="39D7EC0B">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3B7F79D0">
            <w:pPr>
              <w:widowControl/>
              <w:jc w:val="center"/>
              <w:textAlignment w:val="center"/>
              <w:rPr>
                <w:rFonts w:hint="eastAsia" w:ascii="宋体" w:hAnsi="宋体" w:eastAsia="宋体" w:cs="宋体"/>
                <w:b w:val="0"/>
                <w:bCs w:val="0"/>
                <w:color w:val="auto"/>
                <w:kern w:val="0"/>
                <w:sz w:val="24"/>
                <w:szCs w:val="24"/>
                <w:highlight w:val="none"/>
                <w:lang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135BD399">
            <w:pPr>
              <w:widowControl/>
              <w:jc w:val="center"/>
              <w:textAlignment w:val="center"/>
              <w:rPr>
                <w:rFonts w:hint="eastAsia" w:ascii="宋体" w:hAnsi="宋体" w:eastAsia="宋体" w:cs="宋体"/>
                <w:b w:val="0"/>
                <w:bCs w:val="0"/>
                <w:color w:val="auto"/>
                <w:kern w:val="0"/>
                <w:sz w:val="24"/>
                <w:szCs w:val="24"/>
                <w:highlight w:val="none"/>
                <w:lang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restart"/>
            <w:shd w:val="clear" w:color="auto" w:fill="FFFFFF"/>
            <w:vAlign w:val="center"/>
          </w:tcPr>
          <w:p w14:paraId="49CEDC25">
            <w:pPr>
              <w:widowControl/>
              <w:jc w:val="center"/>
              <w:textAlignment w:val="center"/>
              <w:rPr>
                <w:rFonts w:hint="default"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249.60</w:t>
            </w:r>
          </w:p>
        </w:tc>
      </w:tr>
      <w:tr w14:paraId="53922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65521E31">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2915" w:type="dxa"/>
            <w:shd w:val="clear" w:color="auto" w:fill="auto"/>
            <w:vAlign w:val="center"/>
          </w:tcPr>
          <w:p w14:paraId="3FCCDB0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4K超高清摄像机2</w:t>
            </w:r>
          </w:p>
        </w:tc>
        <w:tc>
          <w:tcPr>
            <w:tcW w:w="1121" w:type="dxa"/>
            <w:shd w:val="clear" w:color="auto" w:fill="FFFFFF"/>
            <w:vAlign w:val="center"/>
          </w:tcPr>
          <w:p w14:paraId="2CDDAD16">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77" w:type="dxa"/>
            <w:shd w:val="clear" w:color="auto" w:fill="FFFFFF"/>
            <w:vAlign w:val="center"/>
          </w:tcPr>
          <w:p w14:paraId="07F54188">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53BA6A43">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16A2A1E6">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01E84891">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2538C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21145A3A">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3</w:t>
            </w:r>
          </w:p>
        </w:tc>
        <w:tc>
          <w:tcPr>
            <w:tcW w:w="2915" w:type="dxa"/>
            <w:shd w:val="clear" w:color="auto" w:fill="auto"/>
            <w:vAlign w:val="center"/>
          </w:tcPr>
          <w:p w14:paraId="4F999D0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4K超高清摄像机3</w:t>
            </w:r>
          </w:p>
        </w:tc>
        <w:tc>
          <w:tcPr>
            <w:tcW w:w="1121" w:type="dxa"/>
            <w:shd w:val="clear" w:color="auto" w:fill="FFFFFF"/>
            <w:vAlign w:val="center"/>
          </w:tcPr>
          <w:p w14:paraId="77355ACA">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77" w:type="dxa"/>
            <w:shd w:val="clear" w:color="auto" w:fill="FFFFFF"/>
            <w:vAlign w:val="center"/>
          </w:tcPr>
          <w:p w14:paraId="29494B26">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45DB3177">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19317ABD">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467EAB50">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4A94C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7F00ED59">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4</w:t>
            </w:r>
          </w:p>
        </w:tc>
        <w:tc>
          <w:tcPr>
            <w:tcW w:w="2915" w:type="dxa"/>
            <w:shd w:val="clear" w:color="auto" w:fill="auto"/>
            <w:vAlign w:val="center"/>
          </w:tcPr>
          <w:p w14:paraId="4A80C61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摄像机控制单元 </w:t>
            </w:r>
          </w:p>
        </w:tc>
        <w:tc>
          <w:tcPr>
            <w:tcW w:w="1121" w:type="dxa"/>
            <w:shd w:val="clear" w:color="auto" w:fill="FFFFFF"/>
            <w:vAlign w:val="center"/>
          </w:tcPr>
          <w:p w14:paraId="646CEEFE">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677" w:type="dxa"/>
            <w:shd w:val="clear" w:color="auto" w:fill="FFFFFF"/>
            <w:vAlign w:val="center"/>
          </w:tcPr>
          <w:p w14:paraId="59AFAE2B">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710A47E6">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6EBEF049">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6C136424">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16965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62CD77C6">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5</w:t>
            </w:r>
          </w:p>
        </w:tc>
        <w:tc>
          <w:tcPr>
            <w:tcW w:w="2915" w:type="dxa"/>
            <w:shd w:val="clear" w:color="auto" w:fill="auto"/>
            <w:vAlign w:val="center"/>
          </w:tcPr>
          <w:p w14:paraId="774389C7">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高清液晶寻像器</w:t>
            </w:r>
          </w:p>
        </w:tc>
        <w:tc>
          <w:tcPr>
            <w:tcW w:w="1121" w:type="dxa"/>
            <w:shd w:val="clear" w:color="auto" w:fill="FFFFFF"/>
            <w:vAlign w:val="center"/>
          </w:tcPr>
          <w:p w14:paraId="74F84ED5">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677" w:type="dxa"/>
            <w:shd w:val="clear" w:color="auto" w:fill="FFFFFF"/>
            <w:vAlign w:val="center"/>
          </w:tcPr>
          <w:p w14:paraId="7838DB6C">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68D1252A">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3315DE61">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1CF8FBCF">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510C5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2EF48409">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6</w:t>
            </w:r>
          </w:p>
        </w:tc>
        <w:tc>
          <w:tcPr>
            <w:tcW w:w="2915" w:type="dxa"/>
            <w:shd w:val="clear" w:color="auto" w:fill="auto"/>
            <w:vAlign w:val="center"/>
          </w:tcPr>
          <w:p w14:paraId="34B35F2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摄像机托板</w:t>
            </w:r>
          </w:p>
        </w:tc>
        <w:tc>
          <w:tcPr>
            <w:tcW w:w="1121" w:type="dxa"/>
            <w:shd w:val="clear" w:color="auto" w:fill="FFFFFF"/>
            <w:vAlign w:val="center"/>
          </w:tcPr>
          <w:p w14:paraId="4D7016A1">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677" w:type="dxa"/>
            <w:shd w:val="clear" w:color="auto" w:fill="FFFFFF"/>
            <w:vAlign w:val="center"/>
          </w:tcPr>
          <w:p w14:paraId="66DEE4DA">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0612F896">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4EBC79D7">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46DA6938">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67B14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490465E1">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7</w:t>
            </w:r>
          </w:p>
        </w:tc>
        <w:tc>
          <w:tcPr>
            <w:tcW w:w="2915" w:type="dxa"/>
            <w:shd w:val="clear" w:color="auto" w:fill="auto"/>
            <w:vAlign w:val="center"/>
          </w:tcPr>
          <w:p w14:paraId="5BD6247F">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HDR转换</w:t>
            </w:r>
          </w:p>
        </w:tc>
        <w:tc>
          <w:tcPr>
            <w:tcW w:w="1121" w:type="dxa"/>
            <w:shd w:val="clear" w:color="auto" w:fill="FFFFFF"/>
            <w:vAlign w:val="center"/>
          </w:tcPr>
          <w:p w14:paraId="0FCDC0C6">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77" w:type="dxa"/>
            <w:shd w:val="clear" w:color="auto" w:fill="FFFFFF"/>
            <w:vAlign w:val="center"/>
          </w:tcPr>
          <w:p w14:paraId="244D03DF">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4FF1E336">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5BAA52FE">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55574D8D">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5DF1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2557A66A">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8</w:t>
            </w:r>
          </w:p>
        </w:tc>
        <w:tc>
          <w:tcPr>
            <w:tcW w:w="2915" w:type="dxa"/>
            <w:shd w:val="clear" w:color="auto" w:fill="auto"/>
            <w:vAlign w:val="center"/>
          </w:tcPr>
          <w:p w14:paraId="27DEF82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三脚架</w:t>
            </w:r>
          </w:p>
        </w:tc>
        <w:tc>
          <w:tcPr>
            <w:tcW w:w="1121" w:type="dxa"/>
            <w:shd w:val="clear" w:color="auto" w:fill="FFFFFF"/>
            <w:vAlign w:val="center"/>
          </w:tcPr>
          <w:p w14:paraId="75A54785">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677" w:type="dxa"/>
            <w:shd w:val="clear" w:color="auto" w:fill="FFFFFF"/>
            <w:vAlign w:val="center"/>
          </w:tcPr>
          <w:p w14:paraId="790E92A5">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7F379107">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409B694A">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55FD6425">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52AE2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3C900C5C">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9</w:t>
            </w:r>
          </w:p>
        </w:tc>
        <w:tc>
          <w:tcPr>
            <w:tcW w:w="2915" w:type="dxa"/>
            <w:shd w:val="clear" w:color="auto" w:fill="auto"/>
            <w:vAlign w:val="center"/>
          </w:tcPr>
          <w:p w14:paraId="0C7FFDFD">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无线内部通话系统</w:t>
            </w:r>
          </w:p>
        </w:tc>
        <w:tc>
          <w:tcPr>
            <w:tcW w:w="1121" w:type="dxa"/>
            <w:shd w:val="clear" w:color="auto" w:fill="FFFFFF"/>
            <w:vAlign w:val="center"/>
          </w:tcPr>
          <w:p w14:paraId="1C80E635">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77" w:type="dxa"/>
            <w:shd w:val="clear" w:color="auto" w:fill="FFFFFF"/>
            <w:vAlign w:val="center"/>
          </w:tcPr>
          <w:p w14:paraId="5DD05FE5">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345C2328">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69ABC8B8">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264E43D8">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7952C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7B992A62">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10</w:t>
            </w:r>
          </w:p>
        </w:tc>
        <w:tc>
          <w:tcPr>
            <w:tcW w:w="2915" w:type="dxa"/>
            <w:shd w:val="clear" w:color="auto" w:fill="auto"/>
            <w:vAlign w:val="center"/>
          </w:tcPr>
          <w:p w14:paraId="359A18E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双联监看设备</w:t>
            </w:r>
          </w:p>
        </w:tc>
        <w:tc>
          <w:tcPr>
            <w:tcW w:w="1121" w:type="dxa"/>
            <w:shd w:val="clear" w:color="auto" w:fill="FFFFFF"/>
            <w:vAlign w:val="center"/>
          </w:tcPr>
          <w:p w14:paraId="254E7F1E">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77" w:type="dxa"/>
            <w:shd w:val="clear" w:color="auto" w:fill="FFFFFF"/>
            <w:vAlign w:val="center"/>
          </w:tcPr>
          <w:p w14:paraId="7B2EFB24">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6BE3FD8A">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282D05C7">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67CE4A36">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492BB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42064E90">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11</w:t>
            </w:r>
          </w:p>
        </w:tc>
        <w:tc>
          <w:tcPr>
            <w:tcW w:w="2915" w:type="dxa"/>
            <w:shd w:val="clear" w:color="auto" w:fill="auto"/>
            <w:vAlign w:val="center"/>
          </w:tcPr>
          <w:p w14:paraId="34369A6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4K数字矩阵</w:t>
            </w:r>
          </w:p>
        </w:tc>
        <w:tc>
          <w:tcPr>
            <w:tcW w:w="1121" w:type="dxa"/>
            <w:shd w:val="clear" w:color="auto" w:fill="FFFFFF"/>
            <w:vAlign w:val="center"/>
          </w:tcPr>
          <w:p w14:paraId="20FF88BB">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77" w:type="dxa"/>
            <w:shd w:val="clear" w:color="auto" w:fill="FFFFFF"/>
            <w:vAlign w:val="center"/>
          </w:tcPr>
          <w:p w14:paraId="0D28FA79">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611E67C9">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62541B8D">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02263CA4">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57FE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30D0EFFF">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12</w:t>
            </w:r>
          </w:p>
        </w:tc>
        <w:tc>
          <w:tcPr>
            <w:tcW w:w="2915" w:type="dxa"/>
            <w:shd w:val="clear" w:color="auto" w:fill="auto"/>
            <w:vAlign w:val="center"/>
          </w:tcPr>
          <w:p w14:paraId="199A7254">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矩阵控制面板</w:t>
            </w:r>
          </w:p>
        </w:tc>
        <w:tc>
          <w:tcPr>
            <w:tcW w:w="1121" w:type="dxa"/>
            <w:shd w:val="clear" w:color="auto" w:fill="FFFFFF"/>
            <w:vAlign w:val="center"/>
          </w:tcPr>
          <w:p w14:paraId="5A33D848">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77" w:type="dxa"/>
            <w:shd w:val="clear" w:color="auto" w:fill="FFFFFF"/>
            <w:vAlign w:val="center"/>
          </w:tcPr>
          <w:p w14:paraId="52334862">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7A0D87FB">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19C48602">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128F3C5E">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55218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095821A1">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13</w:t>
            </w:r>
          </w:p>
        </w:tc>
        <w:tc>
          <w:tcPr>
            <w:tcW w:w="2915" w:type="dxa"/>
            <w:shd w:val="clear" w:color="auto" w:fill="auto"/>
            <w:vAlign w:val="center"/>
          </w:tcPr>
          <w:p w14:paraId="69B621C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UHD自动倒换器</w:t>
            </w:r>
          </w:p>
        </w:tc>
        <w:tc>
          <w:tcPr>
            <w:tcW w:w="1121" w:type="dxa"/>
            <w:shd w:val="clear" w:color="auto" w:fill="FFFFFF"/>
            <w:vAlign w:val="center"/>
          </w:tcPr>
          <w:p w14:paraId="6D7782B6">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77" w:type="dxa"/>
            <w:shd w:val="clear" w:color="auto" w:fill="FFFFFF"/>
            <w:vAlign w:val="center"/>
          </w:tcPr>
          <w:p w14:paraId="6DDF3AF9">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1EF2E52F">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0485B0B9">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6AC95348">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1CA81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3D1C7973">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14</w:t>
            </w:r>
          </w:p>
        </w:tc>
        <w:tc>
          <w:tcPr>
            <w:tcW w:w="2915" w:type="dxa"/>
            <w:shd w:val="clear" w:color="auto" w:fill="auto"/>
            <w:vAlign w:val="center"/>
          </w:tcPr>
          <w:p w14:paraId="1218FAE2">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UHD自动倒换器控制面板</w:t>
            </w:r>
          </w:p>
        </w:tc>
        <w:tc>
          <w:tcPr>
            <w:tcW w:w="1121" w:type="dxa"/>
            <w:shd w:val="clear" w:color="auto" w:fill="FFFFFF"/>
            <w:vAlign w:val="center"/>
          </w:tcPr>
          <w:p w14:paraId="200B0B60">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77" w:type="dxa"/>
            <w:shd w:val="clear" w:color="auto" w:fill="FFFFFF"/>
            <w:vAlign w:val="center"/>
          </w:tcPr>
          <w:p w14:paraId="3E17FDAA">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39F80AF1">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057F1A7B">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6DE74CF5">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2EC1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47FE8EBD">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15</w:t>
            </w:r>
          </w:p>
        </w:tc>
        <w:tc>
          <w:tcPr>
            <w:tcW w:w="2915" w:type="dxa"/>
            <w:shd w:val="clear" w:color="auto" w:fill="auto"/>
            <w:vAlign w:val="center"/>
          </w:tcPr>
          <w:p w14:paraId="7A6C5BC2">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UHD SDI多画面处理器</w:t>
            </w:r>
          </w:p>
        </w:tc>
        <w:tc>
          <w:tcPr>
            <w:tcW w:w="1121" w:type="dxa"/>
            <w:shd w:val="clear" w:color="auto" w:fill="FFFFFF"/>
            <w:vAlign w:val="center"/>
          </w:tcPr>
          <w:p w14:paraId="4113B5DE">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77" w:type="dxa"/>
            <w:shd w:val="clear" w:color="auto" w:fill="FFFFFF"/>
            <w:vAlign w:val="center"/>
          </w:tcPr>
          <w:p w14:paraId="7B113483">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0A0746A0">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2907AE64">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69EEBFC1">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0499F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18DF08F2">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16</w:t>
            </w:r>
          </w:p>
        </w:tc>
        <w:tc>
          <w:tcPr>
            <w:tcW w:w="2915" w:type="dxa"/>
            <w:shd w:val="clear" w:color="auto" w:fill="auto"/>
            <w:vAlign w:val="center"/>
          </w:tcPr>
          <w:p w14:paraId="51CF3354">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UHD信号转换器</w:t>
            </w:r>
          </w:p>
        </w:tc>
        <w:tc>
          <w:tcPr>
            <w:tcW w:w="1121" w:type="dxa"/>
            <w:shd w:val="clear" w:color="auto" w:fill="FFFFFF"/>
            <w:vAlign w:val="center"/>
          </w:tcPr>
          <w:p w14:paraId="7D088A3C">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77" w:type="dxa"/>
            <w:shd w:val="clear" w:color="auto" w:fill="FFFFFF"/>
            <w:vAlign w:val="center"/>
          </w:tcPr>
          <w:p w14:paraId="725231D0">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5AC30B84">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33063E4C">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661D8A04">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0BA6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45FBAB5E">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17</w:t>
            </w:r>
          </w:p>
        </w:tc>
        <w:tc>
          <w:tcPr>
            <w:tcW w:w="2915" w:type="dxa"/>
            <w:shd w:val="clear" w:color="auto" w:fill="auto"/>
            <w:vAlign w:val="center"/>
          </w:tcPr>
          <w:p w14:paraId="7698507D">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直播背包</w:t>
            </w:r>
          </w:p>
        </w:tc>
        <w:tc>
          <w:tcPr>
            <w:tcW w:w="1121" w:type="dxa"/>
            <w:shd w:val="clear" w:color="auto" w:fill="FFFFFF"/>
            <w:vAlign w:val="center"/>
          </w:tcPr>
          <w:p w14:paraId="0BD0DC32">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677" w:type="dxa"/>
            <w:shd w:val="clear" w:color="auto" w:fill="FFFFFF"/>
            <w:vAlign w:val="center"/>
          </w:tcPr>
          <w:p w14:paraId="3D5004C6">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3F63D4AA">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0BCD8BBB">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22591F2A">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426A1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1668F212">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18</w:t>
            </w:r>
          </w:p>
        </w:tc>
        <w:tc>
          <w:tcPr>
            <w:tcW w:w="2915" w:type="dxa"/>
            <w:shd w:val="clear" w:color="auto" w:fill="auto"/>
            <w:vAlign w:val="center"/>
          </w:tcPr>
          <w:p w14:paraId="2EFE4C47">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直播背包流媒体推流设备</w:t>
            </w:r>
          </w:p>
        </w:tc>
        <w:tc>
          <w:tcPr>
            <w:tcW w:w="1121" w:type="dxa"/>
            <w:shd w:val="clear" w:color="auto" w:fill="FFFFFF"/>
            <w:vAlign w:val="center"/>
          </w:tcPr>
          <w:p w14:paraId="09186EE7">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677" w:type="dxa"/>
            <w:shd w:val="clear" w:color="auto" w:fill="FFFFFF"/>
            <w:vAlign w:val="center"/>
          </w:tcPr>
          <w:p w14:paraId="79140F19">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23A51203">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1886D8FC">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680886C7">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04E8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6A22F94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19</w:t>
            </w:r>
          </w:p>
        </w:tc>
        <w:tc>
          <w:tcPr>
            <w:tcW w:w="2915" w:type="dxa"/>
            <w:shd w:val="clear" w:color="auto" w:fill="auto"/>
            <w:vAlign w:val="center"/>
          </w:tcPr>
          <w:p w14:paraId="7A0403C6">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三维拓展现实系统</w:t>
            </w:r>
          </w:p>
        </w:tc>
        <w:tc>
          <w:tcPr>
            <w:tcW w:w="1121" w:type="dxa"/>
            <w:shd w:val="clear" w:color="auto" w:fill="FFFFFF"/>
            <w:vAlign w:val="center"/>
          </w:tcPr>
          <w:p w14:paraId="3BB5750B">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77" w:type="dxa"/>
            <w:shd w:val="clear" w:color="auto" w:fill="FFFFFF"/>
            <w:vAlign w:val="center"/>
          </w:tcPr>
          <w:p w14:paraId="1CDF7B5B">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78F283A5">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6B77DAB2">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4F871E4D">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2B80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47567A7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20</w:t>
            </w:r>
          </w:p>
        </w:tc>
        <w:tc>
          <w:tcPr>
            <w:tcW w:w="2915" w:type="dxa"/>
            <w:shd w:val="clear" w:color="auto" w:fill="auto"/>
            <w:vAlign w:val="center"/>
          </w:tcPr>
          <w:p w14:paraId="7CBE092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调光台</w:t>
            </w:r>
          </w:p>
        </w:tc>
        <w:tc>
          <w:tcPr>
            <w:tcW w:w="1121" w:type="dxa"/>
            <w:shd w:val="clear" w:color="auto" w:fill="FFFFFF"/>
            <w:vAlign w:val="center"/>
          </w:tcPr>
          <w:p w14:paraId="71575AA9">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77" w:type="dxa"/>
            <w:shd w:val="clear" w:color="auto" w:fill="FFFFFF"/>
            <w:vAlign w:val="center"/>
          </w:tcPr>
          <w:p w14:paraId="49EA2707">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6085D802">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56875629">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13DDBA25">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75F7B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972" w:type="dxa"/>
            <w:shd w:val="clear" w:color="auto" w:fill="FFFFFF"/>
            <w:vAlign w:val="center"/>
          </w:tcPr>
          <w:p w14:paraId="780EF786">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21</w:t>
            </w:r>
          </w:p>
        </w:tc>
        <w:tc>
          <w:tcPr>
            <w:tcW w:w="2915" w:type="dxa"/>
            <w:shd w:val="clear" w:color="auto" w:fill="auto"/>
            <w:vAlign w:val="center"/>
          </w:tcPr>
          <w:p w14:paraId="5958F03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操作台</w:t>
            </w:r>
          </w:p>
        </w:tc>
        <w:tc>
          <w:tcPr>
            <w:tcW w:w="1121" w:type="dxa"/>
            <w:shd w:val="clear" w:color="auto" w:fill="FFFFFF"/>
            <w:vAlign w:val="center"/>
          </w:tcPr>
          <w:p w14:paraId="7D031841">
            <w:pPr>
              <w:keepNext w:val="0"/>
              <w:keepLines w:val="0"/>
              <w:widowControl/>
              <w:suppressLineNumbers w:val="0"/>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677" w:type="dxa"/>
            <w:shd w:val="clear" w:color="auto" w:fill="FFFFFF"/>
            <w:vAlign w:val="center"/>
          </w:tcPr>
          <w:p w14:paraId="1BB66BC1">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1950" w:type="dxa"/>
            <w:shd w:val="clear" w:color="auto" w:fill="FFFFFF"/>
            <w:vAlign w:val="center"/>
          </w:tcPr>
          <w:p w14:paraId="4957F61E">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387" w:type="dxa"/>
            <w:shd w:val="clear" w:color="auto" w:fill="FFFFFF"/>
            <w:vAlign w:val="center"/>
          </w:tcPr>
          <w:p w14:paraId="38AE3874">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否</w:t>
            </w:r>
          </w:p>
        </w:tc>
        <w:tc>
          <w:tcPr>
            <w:tcW w:w="2790" w:type="dxa"/>
            <w:vMerge w:val="continue"/>
            <w:shd w:val="clear" w:color="auto" w:fill="FFFFFF"/>
            <w:vAlign w:val="center"/>
          </w:tcPr>
          <w:p w14:paraId="22371958">
            <w:pPr>
              <w:widowControl/>
              <w:jc w:val="center"/>
              <w:textAlignment w:val="center"/>
              <w:rPr>
                <w:rFonts w:hint="eastAsia" w:ascii="宋体" w:hAnsi="宋体" w:eastAsia="宋体" w:cs="宋体"/>
                <w:b w:val="0"/>
                <w:bCs w:val="0"/>
                <w:color w:val="auto"/>
                <w:kern w:val="0"/>
                <w:sz w:val="24"/>
                <w:szCs w:val="24"/>
                <w:highlight w:val="none"/>
                <w:lang w:val="en-US" w:eastAsia="zh-CN" w:bidi="ar"/>
              </w:rPr>
            </w:pPr>
          </w:p>
        </w:tc>
      </w:tr>
      <w:tr w14:paraId="3095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13812" w:type="dxa"/>
            <w:gridSpan w:val="7"/>
            <w:shd w:val="clear" w:color="auto" w:fill="FFFFFF"/>
            <w:vAlign w:val="center"/>
          </w:tcPr>
          <w:p w14:paraId="2F1E1846">
            <w:pPr>
              <w:keepNext w:val="0"/>
              <w:keepLines w:val="0"/>
              <w:pageBreakBefore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4"/>
                <w:szCs w:val="24"/>
                <w:highlight w:val="none"/>
              </w:rPr>
            </w:pPr>
            <w:r>
              <w:rPr>
                <w:rFonts w:hint="eastAsia" w:ascii="宋体" w:hAnsi="宋体" w:eastAsia="宋体" w:cs="宋体"/>
                <w:b/>
                <w:bCs/>
                <w:color w:val="auto"/>
                <w:sz w:val="28"/>
                <w:szCs w:val="28"/>
                <w:highlight w:val="none"/>
                <w:lang w:val="zh-TW" w:eastAsia="zh-TW" w:bidi="zh-TW"/>
              </w:rPr>
              <w:t>需求</w:t>
            </w:r>
            <w:r>
              <w:rPr>
                <w:rFonts w:hint="eastAsia" w:ascii="宋体" w:hAnsi="宋体" w:eastAsia="宋体" w:cs="宋体"/>
                <w:b/>
                <w:bCs/>
                <w:color w:val="auto"/>
                <w:sz w:val="28"/>
                <w:szCs w:val="28"/>
                <w:highlight w:val="none"/>
                <w:lang w:val="zh-TW" w:bidi="zh-TW"/>
              </w:rPr>
              <w:t>描述</w:t>
            </w:r>
          </w:p>
        </w:tc>
      </w:tr>
      <w:tr w14:paraId="2CDF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887" w:type="dxa"/>
            <w:gridSpan w:val="2"/>
            <w:shd w:val="clear" w:color="auto" w:fill="FFFFFF"/>
            <w:vAlign w:val="center"/>
          </w:tcPr>
          <w:p w14:paraId="04AA0036">
            <w:pPr>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技术要求</w:t>
            </w:r>
          </w:p>
        </w:tc>
        <w:tc>
          <w:tcPr>
            <w:tcW w:w="9925" w:type="dxa"/>
            <w:gridSpan w:val="5"/>
            <w:shd w:val="clear" w:color="auto" w:fill="FFFFFF"/>
            <w:vAlign w:val="center"/>
          </w:tcPr>
          <w:p w14:paraId="08D6D5E3">
            <w:pPr>
              <w:pStyle w:val="4"/>
              <w:spacing w:line="360" w:lineRule="auto"/>
              <w:ind w:left="0" w:leftChars="0"/>
              <w:rPr>
                <w:rFonts w:hint="eastAsia" w:ascii="宋体" w:hAnsi="宋体" w:eastAsia="宋体" w:cs="宋体"/>
                <w:b/>
                <w:bCs/>
                <w:color w:val="auto"/>
                <w:sz w:val="24"/>
                <w:szCs w:val="24"/>
                <w:highlight w:val="none"/>
                <w:lang w:val="zh-CN" w:eastAsia="zh-CN" w:bidi="ar-SA"/>
              </w:rPr>
            </w:pPr>
            <w:r>
              <w:rPr>
                <w:rFonts w:hint="eastAsia" w:ascii="宋体" w:hAnsi="宋体" w:eastAsia="宋体" w:cs="宋体"/>
                <w:b/>
                <w:bCs/>
                <w:color w:val="auto"/>
                <w:sz w:val="24"/>
                <w:szCs w:val="24"/>
                <w:highlight w:val="none"/>
                <w:lang w:val="zh-CN" w:eastAsia="zh-CN" w:bidi="ar-SA"/>
              </w:rPr>
              <w:t>一、项目概况</w:t>
            </w:r>
          </w:p>
          <w:p w14:paraId="679F3EFE">
            <w:pPr>
              <w:spacing w:line="360" w:lineRule="auto"/>
              <w:rPr>
                <w:rFonts w:hint="eastAsia" w:ascii="宋体" w:hAnsi="宋体" w:eastAsia="宋体" w:cs="宋体"/>
                <w:iCs/>
                <w:color w:val="auto"/>
                <w:sz w:val="24"/>
                <w:szCs w:val="24"/>
                <w:highlight w:val="none"/>
                <w:lang w:val="zh-CN"/>
              </w:rPr>
            </w:pPr>
            <w:r>
              <w:rPr>
                <w:rFonts w:hint="eastAsia" w:ascii="宋体" w:hAnsi="宋体" w:eastAsia="宋体" w:cs="宋体"/>
                <w:iCs/>
                <w:color w:val="auto"/>
                <w:sz w:val="24"/>
                <w:szCs w:val="24"/>
                <w:highlight w:val="none"/>
                <w:lang w:val="zh-CN"/>
              </w:rPr>
              <w:t>本项目为山东师范大学2026年新闻与传媒学院4K COMS 直播摄像机集群采购项目，</w:t>
            </w:r>
            <w:r>
              <w:rPr>
                <w:rFonts w:hint="eastAsia" w:ascii="宋体" w:hAnsi="宋体" w:eastAsia="宋体" w:cs="宋体"/>
                <w:iCs/>
                <w:color w:val="auto"/>
                <w:sz w:val="24"/>
                <w:szCs w:val="24"/>
                <w:highlight w:val="none"/>
                <w:lang w:val="en-US" w:eastAsia="zh-CN"/>
              </w:rPr>
              <w:t>总</w:t>
            </w:r>
            <w:r>
              <w:rPr>
                <w:rFonts w:hint="eastAsia" w:ascii="宋体" w:hAnsi="宋体" w:eastAsia="宋体" w:cs="宋体"/>
                <w:iCs/>
                <w:color w:val="auto"/>
                <w:sz w:val="24"/>
                <w:szCs w:val="24"/>
                <w:highlight w:val="none"/>
                <w:lang w:val="zh-CN"/>
              </w:rPr>
              <w:t>预算</w:t>
            </w:r>
            <w:r>
              <w:rPr>
                <w:rFonts w:hint="eastAsia" w:ascii="宋体" w:hAnsi="宋体" w:eastAsia="宋体" w:cs="宋体"/>
                <w:color w:val="auto"/>
                <w:sz w:val="24"/>
                <w:szCs w:val="24"/>
                <w:highlight w:val="none"/>
                <w:lang w:val="en-US" w:eastAsia="zh-CN"/>
              </w:rPr>
              <w:t>249.60万元</w:t>
            </w:r>
            <w:r>
              <w:rPr>
                <w:rFonts w:hint="eastAsia" w:ascii="宋体" w:hAnsi="宋体" w:eastAsia="宋体" w:cs="宋体"/>
                <w:iCs/>
                <w:color w:val="auto"/>
                <w:sz w:val="24"/>
                <w:szCs w:val="24"/>
                <w:highlight w:val="none"/>
                <w:lang w:val="zh-CN"/>
              </w:rPr>
              <w:t>。</w:t>
            </w:r>
          </w:p>
          <w:p w14:paraId="60EE4AF9">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zh-CN"/>
              </w:rPr>
              <w:t>二、技术要求</w:t>
            </w:r>
            <w:r>
              <w:rPr>
                <w:rFonts w:hint="eastAsia" w:ascii="宋体" w:hAnsi="宋体" w:eastAsia="宋体" w:cs="宋体"/>
                <w:b/>
                <w:bCs/>
                <w:color w:val="auto"/>
                <w:sz w:val="24"/>
                <w:szCs w:val="24"/>
                <w:highlight w:val="none"/>
              </w:rPr>
              <w:t xml:space="preserve"> </w:t>
            </w:r>
          </w:p>
          <w:p w14:paraId="30BF104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详见附件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详细技术要求。</w:t>
            </w:r>
          </w:p>
        </w:tc>
      </w:tr>
      <w:tr w14:paraId="79D8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887" w:type="dxa"/>
            <w:gridSpan w:val="2"/>
            <w:shd w:val="clear" w:color="auto" w:fill="FFFFFF"/>
            <w:vAlign w:val="center"/>
          </w:tcPr>
          <w:p w14:paraId="25313CC1">
            <w:pPr>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商务要求</w:t>
            </w:r>
          </w:p>
        </w:tc>
        <w:tc>
          <w:tcPr>
            <w:tcW w:w="9925" w:type="dxa"/>
            <w:gridSpan w:val="5"/>
            <w:shd w:val="clear" w:color="auto" w:fill="FFFFFF"/>
            <w:vAlign w:val="center"/>
          </w:tcPr>
          <w:p w14:paraId="0745BF33">
            <w:pPr>
              <w:numPr>
                <w:ilvl w:val="0"/>
                <w:numId w:val="1"/>
              </w:num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rPr>
              <w:t>交货期</w:t>
            </w:r>
            <w:r>
              <w:rPr>
                <w:rFonts w:hint="eastAsia" w:ascii="宋体" w:hAnsi="宋体" w:eastAsia="宋体" w:cs="宋体"/>
                <w:color w:val="auto"/>
                <w:sz w:val="24"/>
                <w:szCs w:val="24"/>
                <w:highlight w:val="none"/>
              </w:rPr>
              <w:t>：</w:t>
            </w:r>
          </w:p>
          <w:p w14:paraId="6357E30A">
            <w:pPr>
              <w:pStyle w:val="26"/>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自合同签订之日起1个月内供货安装调试完毕。</w:t>
            </w:r>
          </w:p>
          <w:p w14:paraId="660A2597">
            <w:pPr>
              <w:numPr>
                <w:ilvl w:val="0"/>
                <w:numId w:val="1"/>
              </w:numPr>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交付地点</w:t>
            </w:r>
            <w:r>
              <w:rPr>
                <w:rFonts w:hint="eastAsia" w:ascii="宋体" w:hAnsi="宋体" w:eastAsia="宋体" w:cs="宋体"/>
                <w:color w:val="auto"/>
                <w:sz w:val="24"/>
                <w:szCs w:val="24"/>
                <w:highlight w:val="none"/>
              </w:rPr>
              <w:t>：</w:t>
            </w:r>
          </w:p>
          <w:p w14:paraId="790C834C">
            <w:pPr>
              <w:numPr>
                <w:ilvl w:val="0"/>
                <w:numId w:val="0"/>
              </w:numPr>
              <w:spacing w:line="360" w:lineRule="auto"/>
              <w:ind w:lef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设备全部到达山东师范大学校内指定地点。</w:t>
            </w:r>
          </w:p>
          <w:p w14:paraId="70160167">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3、付款条件：</w:t>
            </w:r>
          </w:p>
          <w:p w14:paraId="54954F8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中标人供货并安装调试完成，使用单位初步验收合格后支付合同价款的60%；经招标人验收合格后，招标人支付至合同价款的100%。</w:t>
            </w:r>
          </w:p>
          <w:p w14:paraId="2AA95083">
            <w:pPr>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4、验收</w:t>
            </w:r>
            <w:r>
              <w:rPr>
                <w:rFonts w:hint="eastAsia" w:ascii="宋体" w:hAnsi="宋体" w:eastAsia="宋体" w:cs="宋体"/>
                <w:color w:val="auto"/>
                <w:sz w:val="24"/>
                <w:szCs w:val="24"/>
                <w:highlight w:val="none"/>
              </w:rPr>
              <w:t>：</w:t>
            </w:r>
          </w:p>
          <w:p w14:paraId="3C827D4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招标人</w:t>
            </w:r>
            <w:r>
              <w:rPr>
                <w:rFonts w:hint="eastAsia" w:ascii="宋体" w:hAnsi="宋体" w:eastAsia="宋体" w:cs="宋体"/>
                <w:color w:val="auto"/>
                <w:sz w:val="24"/>
                <w:szCs w:val="24"/>
                <w:highlight w:val="none"/>
              </w:rPr>
              <w:t>根据《山东省财政厅关于进一步加强政府采购履约验收工</w:t>
            </w:r>
            <w:bookmarkStart w:id="0" w:name="_GoBack"/>
            <w:bookmarkEnd w:id="0"/>
            <w:r>
              <w:rPr>
                <w:rFonts w:hint="eastAsia" w:ascii="宋体" w:hAnsi="宋体" w:eastAsia="宋体" w:cs="宋体"/>
                <w:color w:val="auto"/>
                <w:sz w:val="24"/>
                <w:szCs w:val="24"/>
                <w:highlight w:val="none"/>
              </w:rPr>
              <w:t>作的指导意见》及</w:t>
            </w:r>
            <w:r>
              <w:rPr>
                <w:rFonts w:hint="eastAsia" w:ascii="宋体" w:hAnsi="宋体" w:eastAsia="宋体" w:cs="宋体"/>
                <w:color w:val="auto"/>
                <w:sz w:val="24"/>
                <w:szCs w:val="24"/>
                <w:highlight w:val="none"/>
                <w:lang w:val="en-US" w:eastAsia="zh-CN"/>
              </w:rPr>
              <w:t>招标人</w:t>
            </w:r>
            <w:r>
              <w:rPr>
                <w:rFonts w:hint="eastAsia" w:ascii="宋体" w:hAnsi="宋体" w:eastAsia="宋体" w:cs="宋体"/>
                <w:color w:val="auto"/>
                <w:sz w:val="24"/>
                <w:szCs w:val="24"/>
                <w:highlight w:val="none"/>
              </w:rPr>
              <w:t>要求进行验收。</w:t>
            </w:r>
          </w:p>
          <w:p w14:paraId="750C851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4.1货物运抵现场后，</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将对货物数量、质量、规格等进行检验。如发现货物和规格或者两者都与招标文件、投标文件、合同不符，</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有权限根据检验结果要求中标人立即更换或者提出索赔要求。</w:t>
            </w:r>
          </w:p>
          <w:p w14:paraId="7C5A0EE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4.2货物由中标人进行安装，完毕后，</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应对货物的数量、质量、规格、性能等进行详细而全面的检验。安装完毕7日后，证明货物以及安装质量无任何问题，由</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组成的验收小组签署验收报告，作为付款凭据之一。</w:t>
            </w:r>
          </w:p>
          <w:p w14:paraId="2FC812B4">
            <w:pPr>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5、质量保证期</w:t>
            </w:r>
            <w:r>
              <w:rPr>
                <w:rFonts w:hint="eastAsia" w:ascii="宋体" w:hAnsi="宋体" w:eastAsia="宋体" w:cs="宋体"/>
                <w:color w:val="auto"/>
                <w:sz w:val="24"/>
                <w:szCs w:val="24"/>
                <w:highlight w:val="none"/>
              </w:rPr>
              <w:t>：</w:t>
            </w:r>
          </w:p>
          <w:p w14:paraId="1D0264D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质保期：国产设备原厂质保3年（清单技术规格要求中有要求的按照清单要求执行）。国家主管部门或者行业标准对货物本身有更高要求的，从其规定并在合同中约定，投标人亦可提报更长的质保期，质保及售后须注明质保主体（原厂或投标人）。</w:t>
            </w:r>
          </w:p>
          <w:p w14:paraId="24E35623">
            <w:pPr>
              <w:spacing w:line="360" w:lineRule="auto"/>
              <w:rPr>
                <w:rFonts w:hint="default"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5.2质保期内含硬件维护和软件升级。</w:t>
            </w:r>
          </w:p>
          <w:p w14:paraId="7FE34C6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质量保证期内，如果证实货物是有缺陷的，包括潜在的缺陷或者使用不符合要求的材料等，中标人应立即免费维修或者更换有缺陷的货物或者部件，保证达到合同规定的技术以及性能要求。如果中标人在收到通知后5天内没有弥补缺陷，</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可自行采取必要的补救措施，但风险和费用由中标人承担，</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同时保留通过法律途径进行索赔的权利。</w:t>
            </w:r>
          </w:p>
          <w:p w14:paraId="4DF692AF">
            <w:pPr>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6、售后服务</w:t>
            </w:r>
            <w:r>
              <w:rPr>
                <w:rFonts w:hint="eastAsia" w:ascii="宋体" w:hAnsi="宋体" w:eastAsia="宋体" w:cs="宋体"/>
                <w:color w:val="auto"/>
                <w:sz w:val="24"/>
                <w:szCs w:val="24"/>
                <w:highlight w:val="none"/>
              </w:rPr>
              <w:t>：</w:t>
            </w:r>
          </w:p>
          <w:p w14:paraId="30BC035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6.1投标人应提供及时周到的售后服务，应保证每季度至少一次上门回访、检修。</w:t>
            </w:r>
          </w:p>
          <w:p w14:paraId="7715540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6.2投标人自报响应、维修时间以及备品备件情况。</w:t>
            </w:r>
          </w:p>
          <w:p w14:paraId="691908B4">
            <w:pPr>
              <w:pStyle w:val="25"/>
              <w:numPr>
                <w:ilvl w:val="0"/>
                <w:numId w:val="0"/>
              </w:num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7、</w:t>
            </w:r>
            <w:r>
              <w:rPr>
                <w:rFonts w:hint="eastAsia" w:ascii="宋体" w:hAnsi="宋体" w:eastAsia="宋体" w:cs="宋体"/>
                <w:b/>
                <w:bCs/>
                <w:color w:val="auto"/>
                <w:sz w:val="24"/>
                <w:szCs w:val="24"/>
                <w:highlight w:val="none"/>
              </w:rPr>
              <w:t>培训</w:t>
            </w:r>
          </w:p>
          <w:p w14:paraId="088C9783">
            <w:pPr>
              <w:pStyle w:val="26"/>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投标人提供技术培训，包括</w:t>
            </w: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使用维护、工作原理、基本操作</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常见故障处理等。</w:t>
            </w:r>
          </w:p>
        </w:tc>
      </w:tr>
      <w:tr w14:paraId="59BA6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887" w:type="dxa"/>
            <w:gridSpan w:val="2"/>
            <w:shd w:val="clear" w:color="auto" w:fill="FFFFFF"/>
            <w:vAlign w:val="center"/>
          </w:tcPr>
          <w:p w14:paraId="03D708EC">
            <w:pPr>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政策要求</w:t>
            </w:r>
          </w:p>
        </w:tc>
        <w:tc>
          <w:tcPr>
            <w:tcW w:w="9925" w:type="dxa"/>
            <w:gridSpan w:val="5"/>
            <w:shd w:val="clear" w:color="auto" w:fill="FFFFFF"/>
            <w:vAlign w:val="center"/>
          </w:tcPr>
          <w:p w14:paraId="6B7DF204">
            <w:pPr>
              <w:pStyle w:val="4"/>
              <w:spacing w:line="360" w:lineRule="auto"/>
              <w:ind w:left="0" w:leftChars="0" w:firstLine="0" w:firstLineChars="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严格落实财政部、工业和信息化部《政府采购促进中小企业发展管理办法》（财库〔2020〕46号）、《财政部 司法部关于政府采购支持监狱企业发展有关问题的通知》（财库〔2014〕68号）、《关于促进残疾人就业政府采购政策的通知》（财库[2017]141号）、</w:t>
            </w:r>
            <w:r>
              <w:rPr>
                <w:rFonts w:hint="eastAsia" w:ascii="宋体" w:hAnsi="宋体" w:eastAsia="宋体" w:cs="宋体"/>
                <w:iCs/>
                <w:color w:val="auto"/>
                <w:sz w:val="24"/>
                <w:highlight w:val="none"/>
                <w:u w:val="none"/>
                <w:lang w:val="zh-CN" w:eastAsia="zh-CN"/>
              </w:rPr>
              <w:t>《关于进一步发挥政府采购政策功能支持中小企业发展的通知》、</w:t>
            </w:r>
            <w:r>
              <w:rPr>
                <w:rFonts w:hint="eastAsia" w:ascii="宋体" w:hAnsi="宋体" w:eastAsia="宋体" w:cs="宋体"/>
                <w:color w:val="auto"/>
                <w:sz w:val="24"/>
                <w:szCs w:val="24"/>
                <w:highlight w:val="none"/>
                <w:lang w:val="zh-CN"/>
              </w:rPr>
              <w:t>《关于进一步发挥政府采购政策功能支持中小企业发展的通知》、《关于调整优化节能产品、环境标志产品政府采购执行机制的通知》、《关于印发节能产品政府采购品目清单的通知》、《关于印发环境标志产品政府采购品目清单的通知》、</w:t>
            </w:r>
            <w:r>
              <w:rPr>
                <w:rFonts w:hint="eastAsia" w:ascii="宋体" w:hAnsi="宋体" w:eastAsia="宋体" w:cs="宋体"/>
                <w:color w:val="auto"/>
                <w:sz w:val="24"/>
                <w:szCs w:val="24"/>
                <w:highlight w:val="none"/>
                <w:lang w:val="en-US" w:eastAsia="zh-CN"/>
              </w:rPr>
              <w:t>本国产品政策、</w:t>
            </w:r>
            <w:r>
              <w:rPr>
                <w:rFonts w:hint="eastAsia" w:ascii="宋体" w:hAnsi="宋体" w:eastAsia="宋体" w:cs="宋体"/>
                <w:color w:val="auto"/>
                <w:sz w:val="24"/>
                <w:szCs w:val="24"/>
                <w:highlight w:val="none"/>
                <w:lang w:val="zh-CN"/>
              </w:rPr>
              <w:t>采购绿色建材、推广节能建筑等</w:t>
            </w:r>
            <w:r>
              <w:rPr>
                <w:rFonts w:hint="eastAsia" w:ascii="宋体" w:hAnsi="宋体" w:eastAsia="宋体" w:cs="宋体"/>
                <w:color w:val="auto"/>
                <w:sz w:val="24"/>
                <w:szCs w:val="24"/>
                <w:highlight w:val="none"/>
              </w:rPr>
              <w:t>国家最新</w:t>
            </w:r>
            <w:r>
              <w:rPr>
                <w:rFonts w:hint="eastAsia" w:ascii="宋体" w:hAnsi="宋体" w:eastAsia="宋体" w:cs="宋体"/>
                <w:color w:val="auto"/>
                <w:sz w:val="24"/>
                <w:szCs w:val="24"/>
                <w:highlight w:val="none"/>
                <w:lang w:val="zh-CN"/>
              </w:rPr>
              <w:t>政府采购政策。</w:t>
            </w:r>
          </w:p>
        </w:tc>
      </w:tr>
      <w:tr w14:paraId="53A36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887" w:type="dxa"/>
            <w:gridSpan w:val="2"/>
            <w:shd w:val="clear" w:color="auto" w:fill="FFFFFF"/>
            <w:vAlign w:val="center"/>
          </w:tcPr>
          <w:p w14:paraId="5F9C60EB">
            <w:pPr>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绩效目标</w:t>
            </w:r>
          </w:p>
        </w:tc>
        <w:tc>
          <w:tcPr>
            <w:tcW w:w="9925" w:type="dxa"/>
            <w:gridSpan w:val="5"/>
            <w:shd w:val="clear" w:color="auto" w:fill="FFFFFF"/>
            <w:vAlign w:val="center"/>
          </w:tcPr>
          <w:p w14:paraId="3718F608">
            <w:pPr>
              <w:pStyle w:val="4"/>
              <w:spacing w:line="360" w:lineRule="auto"/>
              <w:ind w:left="0" w:leftChars="0"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改善实验教学条件，提高人才培养质量</w:t>
            </w:r>
          </w:p>
        </w:tc>
      </w:tr>
      <w:tr w14:paraId="48A95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887" w:type="dxa"/>
            <w:gridSpan w:val="2"/>
            <w:shd w:val="clear" w:color="auto" w:fill="FFFFFF"/>
            <w:vAlign w:val="center"/>
          </w:tcPr>
          <w:p w14:paraId="3E237FFE">
            <w:pPr>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其他要求</w:t>
            </w:r>
          </w:p>
        </w:tc>
        <w:tc>
          <w:tcPr>
            <w:tcW w:w="9925" w:type="dxa"/>
            <w:gridSpan w:val="5"/>
            <w:shd w:val="clear" w:color="auto" w:fill="FFFFFF"/>
            <w:vAlign w:val="center"/>
          </w:tcPr>
          <w:p w14:paraId="4CCD916C">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投标人资格要求：</w:t>
            </w:r>
          </w:p>
          <w:p w14:paraId="7528C446">
            <w:pPr>
              <w:numPr>
                <w:ilvl w:val="0"/>
                <w:numId w:val="0"/>
              </w:num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满足《中华人民共和国政府采购法》第二十二条规定;</w:t>
            </w:r>
          </w:p>
          <w:p w14:paraId="59EB03A1">
            <w:pPr>
              <w:numPr>
                <w:ilvl w:val="0"/>
                <w:numId w:val="0"/>
              </w:num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2、落</w:t>
            </w:r>
            <w:r>
              <w:rPr>
                <w:rFonts w:hint="eastAsia" w:ascii="宋体" w:hAnsi="宋体" w:eastAsia="宋体" w:cs="宋体"/>
                <w:color w:val="auto"/>
                <w:sz w:val="24"/>
                <w:szCs w:val="24"/>
                <w:highlight w:val="none"/>
              </w:rPr>
              <w:t>实政府采购政策需满足的资格要求：</w:t>
            </w:r>
            <w:r>
              <w:rPr>
                <w:rFonts w:hint="eastAsia" w:ascii="宋体" w:hAnsi="宋体" w:eastAsia="宋体" w:cs="宋体"/>
                <w:color w:val="auto"/>
                <w:sz w:val="24"/>
                <w:szCs w:val="24"/>
                <w:highlight w:val="none"/>
                <w:lang w:val="en-US" w:eastAsia="zh-CN"/>
              </w:rPr>
              <w:t>无</w:t>
            </w:r>
          </w:p>
          <w:p w14:paraId="74026F4A">
            <w:pPr>
              <w:numPr>
                <w:ilvl w:val="0"/>
                <w:numId w:val="0"/>
              </w:num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本项目的特定资格要求：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在“信用中国”（www.creditchina.gov.cn）、中国政府采购网（www.ccgp.gov.cn）、“信用山东”（credit.shandong.gov.cn）等网站中被列入失信被执行人、重大税收违法失信主体、政府采购严重违法失信行为记录名单的投标人，不得参加本次政府采购活动；</w:t>
            </w:r>
          </w:p>
          <w:p w14:paraId="42DAC639">
            <w:pPr>
              <w:spacing w:line="360" w:lineRule="auto"/>
              <w:rPr>
                <w:rFonts w:hint="eastAsia"/>
                <w:color w:val="auto"/>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）单位负责人为同一人或者存在直接控股、管理关系的不同投标人，不得参加同一合同项下（同一包号）的政府采购活动；</w:t>
            </w:r>
          </w:p>
        </w:tc>
      </w:tr>
    </w:tbl>
    <w:p w14:paraId="18C20102">
      <w:pPr>
        <w:spacing w:line="360" w:lineRule="auto"/>
        <w:rPr>
          <w:rFonts w:hint="eastAsia" w:ascii="宋体" w:hAnsi="宋体" w:eastAsia="宋体" w:cs="宋体"/>
          <w:b/>
          <w:bCs/>
          <w:color w:val="auto"/>
          <w:sz w:val="28"/>
          <w:szCs w:val="28"/>
          <w:highlight w:val="none"/>
        </w:rPr>
      </w:pPr>
    </w:p>
    <w:p w14:paraId="5A93EDB3">
      <w:pPr>
        <w:spacing w:line="360" w:lineRule="auto"/>
        <w:rPr>
          <w:rFonts w:hint="eastAsia" w:ascii="宋体" w:hAnsi="宋体" w:eastAsia="宋体" w:cs="宋体"/>
          <w:b/>
          <w:bCs/>
          <w:color w:val="auto"/>
          <w:sz w:val="28"/>
          <w:szCs w:val="28"/>
          <w:highlight w:val="none"/>
        </w:rPr>
      </w:pPr>
    </w:p>
    <w:p w14:paraId="15523B58">
      <w:pPr>
        <w:spacing w:line="360" w:lineRule="auto"/>
        <w:rPr>
          <w:rFonts w:hint="eastAsia" w:ascii="宋体" w:hAnsi="宋体" w:eastAsia="宋体" w:cs="宋体"/>
          <w:b/>
          <w:bCs/>
          <w:color w:val="auto"/>
          <w:sz w:val="28"/>
          <w:szCs w:val="28"/>
          <w:highlight w:val="none"/>
        </w:rPr>
      </w:pPr>
    </w:p>
    <w:p w14:paraId="29D01F76">
      <w:pPr>
        <w:spacing w:line="360" w:lineRule="auto"/>
        <w:rPr>
          <w:rFonts w:hint="eastAsia" w:ascii="宋体" w:hAnsi="宋体" w:eastAsia="宋体" w:cs="宋体"/>
          <w:b/>
          <w:bCs/>
          <w:color w:val="auto"/>
          <w:sz w:val="28"/>
          <w:szCs w:val="28"/>
          <w:highlight w:val="none"/>
        </w:rPr>
      </w:pPr>
    </w:p>
    <w:p w14:paraId="7F3A4750">
      <w:pPr>
        <w:spacing w:line="360" w:lineRule="auto"/>
        <w:rPr>
          <w:rFonts w:hint="eastAsia" w:ascii="宋体" w:hAnsi="宋体" w:eastAsia="宋体" w:cs="宋体"/>
          <w:b/>
          <w:bCs/>
          <w:color w:val="auto"/>
          <w:sz w:val="28"/>
          <w:szCs w:val="28"/>
          <w:highlight w:val="none"/>
        </w:rPr>
      </w:pPr>
    </w:p>
    <w:p w14:paraId="4A2712CE">
      <w:pPr>
        <w:spacing w:line="360" w:lineRule="auto"/>
        <w:rPr>
          <w:rFonts w:hint="eastAsia" w:ascii="宋体" w:hAnsi="宋体" w:eastAsia="宋体" w:cs="宋体"/>
          <w:b/>
          <w:bCs/>
          <w:color w:val="auto"/>
          <w:sz w:val="28"/>
          <w:szCs w:val="28"/>
          <w:highlight w:val="none"/>
        </w:rPr>
      </w:pPr>
    </w:p>
    <w:p w14:paraId="5D8D14F0">
      <w:pPr>
        <w:spacing w:line="360" w:lineRule="auto"/>
        <w:rPr>
          <w:rFonts w:hint="eastAsia" w:ascii="宋体" w:hAnsi="宋体" w:eastAsia="宋体" w:cs="宋体"/>
          <w:b/>
          <w:bCs/>
          <w:color w:val="auto"/>
          <w:sz w:val="28"/>
          <w:szCs w:val="28"/>
          <w:highlight w:val="none"/>
        </w:rPr>
      </w:pPr>
    </w:p>
    <w:p w14:paraId="3877D224">
      <w:pPr>
        <w:spacing w:line="360" w:lineRule="auto"/>
        <w:rPr>
          <w:rFonts w:hint="eastAsia" w:ascii="宋体" w:hAnsi="宋体" w:eastAsia="宋体" w:cs="宋体"/>
          <w:b/>
          <w:bCs/>
          <w:color w:val="auto"/>
          <w:sz w:val="28"/>
          <w:szCs w:val="28"/>
          <w:highlight w:val="none"/>
        </w:rPr>
      </w:pPr>
    </w:p>
    <w:p w14:paraId="38ADD40D">
      <w:pPr>
        <w:spacing w:line="360" w:lineRule="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附件</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详细技术要求</w:t>
      </w:r>
    </w:p>
    <w:tbl>
      <w:tblPr>
        <w:tblStyle w:val="10"/>
        <w:tblW w:w="13630"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39"/>
        <w:gridCol w:w="1513"/>
        <w:gridCol w:w="795"/>
        <w:gridCol w:w="804"/>
        <w:gridCol w:w="9679"/>
      </w:tblGrid>
      <w:tr w14:paraId="4FD90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839" w:type="dxa"/>
            <w:shd w:val="clear" w:color="auto" w:fill="auto"/>
            <w:vAlign w:val="center"/>
          </w:tcPr>
          <w:p w14:paraId="6FF430F7">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序号</w:t>
            </w:r>
          </w:p>
        </w:tc>
        <w:tc>
          <w:tcPr>
            <w:tcW w:w="1513" w:type="dxa"/>
            <w:shd w:val="clear" w:color="auto" w:fill="auto"/>
            <w:vAlign w:val="center"/>
          </w:tcPr>
          <w:p w14:paraId="41B47C2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货物名称</w:t>
            </w:r>
          </w:p>
        </w:tc>
        <w:tc>
          <w:tcPr>
            <w:tcW w:w="795" w:type="dxa"/>
            <w:shd w:val="clear" w:color="auto" w:fill="auto"/>
            <w:vAlign w:val="center"/>
          </w:tcPr>
          <w:p w14:paraId="7C9E212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计量单位</w:t>
            </w:r>
          </w:p>
        </w:tc>
        <w:tc>
          <w:tcPr>
            <w:tcW w:w="804" w:type="dxa"/>
            <w:shd w:val="clear" w:color="auto" w:fill="auto"/>
            <w:vAlign w:val="center"/>
          </w:tcPr>
          <w:p w14:paraId="1DBE7D5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9679" w:type="dxa"/>
            <w:shd w:val="clear" w:color="auto" w:fill="auto"/>
            <w:vAlign w:val="center"/>
          </w:tcPr>
          <w:p w14:paraId="57922AA4">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技术规格要求(简要描述)</w:t>
            </w:r>
          </w:p>
        </w:tc>
      </w:tr>
      <w:tr w14:paraId="32145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39" w:type="dxa"/>
            <w:shd w:val="clear" w:color="auto" w:fill="auto"/>
            <w:vAlign w:val="center"/>
          </w:tcPr>
          <w:p w14:paraId="6B76B31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13" w:type="dxa"/>
            <w:shd w:val="clear" w:color="auto" w:fill="auto"/>
            <w:vAlign w:val="center"/>
          </w:tcPr>
          <w:p w14:paraId="19DE9D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4K超高清摄像机1</w:t>
            </w:r>
          </w:p>
        </w:tc>
        <w:tc>
          <w:tcPr>
            <w:tcW w:w="795" w:type="dxa"/>
            <w:shd w:val="clear" w:color="auto" w:fill="auto"/>
            <w:noWrap/>
            <w:vAlign w:val="center"/>
          </w:tcPr>
          <w:p w14:paraId="5A7E5F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04" w:type="dxa"/>
            <w:shd w:val="clear" w:color="auto" w:fill="auto"/>
            <w:noWrap/>
            <w:vAlign w:val="center"/>
          </w:tcPr>
          <w:p w14:paraId="5B96EC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679" w:type="dxa"/>
            <w:shd w:val="clear" w:color="auto" w:fill="auto"/>
            <w:vAlign w:val="center"/>
          </w:tcPr>
          <w:p w14:paraId="7EE9CDC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▲1、≥2/3英寸4K CMOS；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2、灵敏度≥F10；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3、信噪比≥62dB；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4、具备支持UHD/1080/50P/60P拍摄格式；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5、具有肤色细节调整功能；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6、具有镜头失真自动补偿功能；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7、支持高光部分的饱和度可单独调节；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8、支持输出12G/高清数字信号；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9、光纤传输，需支持单模光纤或者复合光缆；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10、支持HDR、HLG。支持增益差、黑电平偏移、HDR拐点等设置，支持</w:t>
            </w:r>
            <w:r>
              <w:rPr>
                <w:rFonts w:ascii="宋体" w:hAnsi="宋体" w:eastAsia="宋体" w:cs="宋体"/>
                <w:sz w:val="24"/>
                <w:szCs w:val="24"/>
              </w:rPr>
              <w:t>以太网 IP 透传</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11、支持 4K 及 HLG HDR 信号输出；摄像机光纤电缆*1条(≥100米)，包含配套线缆盘；2/3" 4K摄像机用广播级4K广角镜头*1个，带倍率扩展镜；接口：标准2/3英寸 B4卡口；规格需≥：变焦倍率：14倍，广角端：4.5mm；数字内聚焦,电控全伺服变/聚焦组件；配原厂镀膜UV镜：127mm， 9片光圈叶片；具备自动光亮补偿；具备呼吸抑制功能。</w:t>
            </w:r>
          </w:p>
        </w:tc>
      </w:tr>
      <w:tr w14:paraId="01F8A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39" w:type="dxa"/>
            <w:shd w:val="clear" w:color="auto" w:fill="auto"/>
            <w:vAlign w:val="center"/>
          </w:tcPr>
          <w:p w14:paraId="0D63A64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513" w:type="dxa"/>
            <w:shd w:val="clear" w:color="auto" w:fill="auto"/>
            <w:vAlign w:val="center"/>
          </w:tcPr>
          <w:p w14:paraId="3F11DB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4K超高清摄像机2</w:t>
            </w:r>
          </w:p>
        </w:tc>
        <w:tc>
          <w:tcPr>
            <w:tcW w:w="795" w:type="dxa"/>
            <w:shd w:val="clear" w:color="auto" w:fill="auto"/>
            <w:noWrap/>
            <w:vAlign w:val="center"/>
          </w:tcPr>
          <w:p w14:paraId="4D023E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04" w:type="dxa"/>
            <w:shd w:val="clear" w:color="auto" w:fill="auto"/>
            <w:noWrap/>
            <w:vAlign w:val="center"/>
          </w:tcPr>
          <w:p w14:paraId="324F98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679" w:type="dxa"/>
            <w:shd w:val="clear" w:color="auto" w:fill="auto"/>
            <w:vAlign w:val="top"/>
          </w:tcPr>
          <w:p w14:paraId="5E9CEF4F">
            <w:pPr>
              <w:keepNext w:val="0"/>
              <w:keepLines w:val="0"/>
              <w:widowControl/>
              <w:numPr>
                <w:ilvl w:val="0"/>
                <w:numId w:val="0"/>
              </w:numPr>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1、≥2/3英寸4K CMOS；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2、灵敏度≥F10；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3、信噪比≥62dB；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4、具备支持UHD/1080/50P/60P拍摄格式；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5、具有肤色细节调整功能；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6、具有镜头失真自动补偿功能；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7、支持高光部分的饱和度可单独调节；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8、支持输出12G/高清数字信号；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9、光纤传输，需支持单模光纤或者复合光缆；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10、需支持HDR、HLG。支持增益差、黑电平偏移、HDR拐点等设置，支持以太网IP透传；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11、支持 4K 及 HLG HDR 信号输出；摄像机光纤电缆*1条，(≥100米)，包含配套线缆盘；2/3" 4K摄像机用广播级4K标准镜头*1，带倍率扩展镜；接口：标准2/3英寸 B4卡口；规格需≥：变焦倍率：18倍，广角端：7.6mm；数字内聚焦,电控全伺服变/聚焦组件；配原厂镀膜UV镜：82mm， 9片光圈叶片；具备自动光亮补偿；具备呼吸抑制功能。</w:t>
            </w:r>
          </w:p>
        </w:tc>
      </w:tr>
      <w:tr w14:paraId="6296B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39" w:type="dxa"/>
            <w:shd w:val="clear" w:color="auto" w:fill="auto"/>
            <w:vAlign w:val="center"/>
          </w:tcPr>
          <w:p w14:paraId="585F20D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513" w:type="dxa"/>
            <w:shd w:val="clear" w:color="auto" w:fill="auto"/>
            <w:vAlign w:val="center"/>
          </w:tcPr>
          <w:p w14:paraId="7FC20D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4K超高清摄像机3</w:t>
            </w:r>
          </w:p>
        </w:tc>
        <w:tc>
          <w:tcPr>
            <w:tcW w:w="795" w:type="dxa"/>
            <w:shd w:val="clear" w:color="auto" w:fill="auto"/>
            <w:noWrap/>
            <w:vAlign w:val="center"/>
          </w:tcPr>
          <w:p w14:paraId="503BAA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04" w:type="dxa"/>
            <w:shd w:val="clear" w:color="auto" w:fill="auto"/>
            <w:noWrap/>
            <w:vAlign w:val="center"/>
          </w:tcPr>
          <w:p w14:paraId="71A4C5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679" w:type="dxa"/>
            <w:shd w:val="clear" w:color="auto" w:fill="auto"/>
            <w:vAlign w:val="top"/>
          </w:tcPr>
          <w:p w14:paraId="02E6BC1D">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1、≥2/3英寸4K CMOS；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2、灵敏度≥F10；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3、信噪比≥62dB；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4、具备支持UHD/1080/50P/60P拍摄格式；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5、具有肤色细节调整功能；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6、具有镜头失真自动补偿功能；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7、支持高光部分的饱和度可单独调节；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8、支持输出12G/高清数字信号；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9、光纤传输，需支持单模光纤或者复合光缆；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10、需支持HDR、HLG。支持增益差、黑电平偏移、HDR拐点等设置，支持以太网IP透传；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11、支持 4K 及 HLG HDR 信号输出，需配套学校原有2/3" 4K摄像机用广播级4K标准镜头使用；摄像机光纤电缆*1条，(≥100米)，包含配套线缆盘；全伺服镜头控制器*1套，远程控制摄像机的变焦、聚焦、音视频信号的返送。</w:t>
            </w:r>
          </w:p>
        </w:tc>
      </w:tr>
      <w:tr w14:paraId="32A94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39" w:type="dxa"/>
            <w:shd w:val="clear" w:color="auto" w:fill="auto"/>
            <w:vAlign w:val="center"/>
          </w:tcPr>
          <w:p w14:paraId="3D782D1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513" w:type="dxa"/>
            <w:shd w:val="clear" w:color="auto" w:fill="auto"/>
            <w:vAlign w:val="center"/>
          </w:tcPr>
          <w:p w14:paraId="354AA6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摄像机控制单元 </w:t>
            </w:r>
          </w:p>
        </w:tc>
        <w:tc>
          <w:tcPr>
            <w:tcW w:w="795" w:type="dxa"/>
            <w:shd w:val="clear" w:color="auto" w:fill="auto"/>
            <w:noWrap/>
            <w:vAlign w:val="center"/>
          </w:tcPr>
          <w:p w14:paraId="4CB253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04" w:type="dxa"/>
            <w:shd w:val="clear" w:color="auto" w:fill="auto"/>
            <w:noWrap/>
            <w:vAlign w:val="center"/>
          </w:tcPr>
          <w:p w14:paraId="3B3542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679" w:type="dxa"/>
            <w:shd w:val="clear" w:color="auto" w:fill="auto"/>
            <w:vAlign w:val="top"/>
          </w:tcPr>
          <w:p w14:paraId="492F2F8D">
            <w:pPr>
              <w:keepNext w:val="0"/>
              <w:keepLines w:val="0"/>
              <w:widowControl/>
              <w:numPr>
                <w:ilvl w:val="-1"/>
                <w:numId w:val="0"/>
              </w:numPr>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1、提供≥2路12G-SDI信号输出；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2、提供≥8路3G/1.5G-SDI信号输出；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3、提供模拟信号输出接口；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4、供≥２路返送视频信号；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5、提供指示灯、通话等外接设备的输入接口；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6、具备接受模拟黑场（BB）作为外同步锁相信号。</w:t>
            </w:r>
          </w:p>
          <w:p w14:paraId="0B964294">
            <w:pPr>
              <w:keepNext w:val="0"/>
              <w:keepLines w:val="0"/>
              <w:widowControl/>
              <w:numPr>
                <w:ilvl w:val="-1"/>
                <w:numId w:val="0"/>
              </w:numPr>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7、采用推杆式光圈控制器。能够对摄像机的参数做全功能遥控调整；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8、实现对摄像机机头菜单，基站菜单的全功能调用；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9、配显示屏可调整摄像机参数；带有USB接口；与摄像机控制单元的网络化连接，实现系统集中控制；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10、4KHDR与HDSDR统一调光时，具备通过增益差及黑电平联动调整功能。</w:t>
            </w:r>
          </w:p>
          <w:p w14:paraId="5BE96503">
            <w:pPr>
              <w:keepNext w:val="0"/>
              <w:keepLines w:val="0"/>
              <w:widowControl/>
              <w:numPr>
                <w:ilvl w:val="-1"/>
                <w:numId w:val="0"/>
              </w:numPr>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11、遥控面板与基站采用以太网或者专线连接，提供≥30米线缆。</w:t>
            </w:r>
          </w:p>
        </w:tc>
      </w:tr>
      <w:tr w14:paraId="7CC1E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839" w:type="dxa"/>
            <w:shd w:val="clear" w:color="auto" w:fill="auto"/>
            <w:vAlign w:val="center"/>
          </w:tcPr>
          <w:p w14:paraId="50E5100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513" w:type="dxa"/>
            <w:shd w:val="clear" w:color="auto" w:fill="auto"/>
            <w:vAlign w:val="center"/>
          </w:tcPr>
          <w:p w14:paraId="2E8572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高清液晶寻像器</w:t>
            </w:r>
          </w:p>
        </w:tc>
        <w:tc>
          <w:tcPr>
            <w:tcW w:w="795" w:type="dxa"/>
            <w:shd w:val="clear" w:color="auto" w:fill="auto"/>
            <w:noWrap/>
            <w:vAlign w:val="center"/>
          </w:tcPr>
          <w:p w14:paraId="3AEE20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04" w:type="dxa"/>
            <w:shd w:val="clear" w:color="auto" w:fill="auto"/>
            <w:noWrap/>
            <w:vAlign w:val="center"/>
          </w:tcPr>
          <w:p w14:paraId="09C2C0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679" w:type="dxa"/>
            <w:shd w:val="clear" w:color="auto" w:fill="auto"/>
            <w:vAlign w:val="top"/>
          </w:tcPr>
          <w:p w14:paraId="0E5AD88C">
            <w:pPr>
              <w:keepNext w:val="0"/>
              <w:keepLines w:val="0"/>
              <w:widowControl/>
              <w:numPr>
                <w:ilvl w:val="0"/>
                <w:numId w:val="2"/>
              </w:numPr>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分辨率≥1920 x 1080 ；</w:t>
            </w:r>
          </w:p>
          <w:p w14:paraId="309B3AC4">
            <w:pPr>
              <w:keepNext w:val="0"/>
              <w:keepLines w:val="0"/>
              <w:widowControl/>
              <w:numPr>
                <w:ilvl w:val="0"/>
                <w:numId w:val="2"/>
              </w:numPr>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 英寸液晶面板；</w:t>
            </w:r>
          </w:p>
          <w:p w14:paraId="772C9112">
            <w:pPr>
              <w:keepNext w:val="0"/>
              <w:keepLines w:val="0"/>
              <w:widowControl/>
              <w:numPr>
                <w:ilvl w:val="0"/>
                <w:numId w:val="2"/>
              </w:numPr>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宽高比为16：9；</w:t>
            </w:r>
          </w:p>
          <w:p w14:paraId="253A3BCB">
            <w:pPr>
              <w:keepNext w:val="0"/>
              <w:keepLines w:val="0"/>
              <w:widowControl/>
              <w:numPr>
                <w:ilvl w:val="0"/>
                <w:numId w:val="2"/>
              </w:numPr>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亮度≥300cd/㎡；</w:t>
            </w:r>
          </w:p>
          <w:p w14:paraId="7DFFF664">
            <w:pPr>
              <w:keepNext w:val="0"/>
              <w:keepLines w:val="0"/>
              <w:widowControl/>
              <w:numPr>
                <w:ilvl w:val="0"/>
                <w:numId w:val="2"/>
              </w:numPr>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对比度≥1000:1 ，</w:t>
            </w:r>
          </w:p>
          <w:p w14:paraId="2CFBC9CD">
            <w:pPr>
              <w:keepNext w:val="0"/>
              <w:keepLines w:val="0"/>
              <w:widowControl/>
              <w:numPr>
                <w:ilvl w:val="0"/>
                <w:numId w:val="2"/>
              </w:numPr>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具备波形监视器功能，具备3G-SDI 输入接口；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7、支持接入查看外部视频源（包括第三方设备），支持视频返送。</w:t>
            </w:r>
          </w:p>
        </w:tc>
      </w:tr>
      <w:tr w14:paraId="75726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839" w:type="dxa"/>
            <w:shd w:val="clear" w:color="auto" w:fill="auto"/>
            <w:vAlign w:val="center"/>
          </w:tcPr>
          <w:p w14:paraId="1168BA8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513" w:type="dxa"/>
            <w:shd w:val="clear" w:color="auto" w:fill="auto"/>
            <w:vAlign w:val="center"/>
          </w:tcPr>
          <w:p w14:paraId="24C728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摄像机托板</w:t>
            </w:r>
          </w:p>
        </w:tc>
        <w:tc>
          <w:tcPr>
            <w:tcW w:w="795" w:type="dxa"/>
            <w:shd w:val="clear" w:color="auto" w:fill="auto"/>
            <w:vAlign w:val="center"/>
          </w:tcPr>
          <w:p w14:paraId="323B58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04" w:type="dxa"/>
            <w:shd w:val="clear" w:color="auto" w:fill="auto"/>
            <w:noWrap/>
            <w:vAlign w:val="center"/>
          </w:tcPr>
          <w:p w14:paraId="5DC66B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679" w:type="dxa"/>
            <w:shd w:val="clear" w:color="auto" w:fill="auto"/>
            <w:vAlign w:val="center"/>
          </w:tcPr>
          <w:p w14:paraId="0DB167D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与所投摄像机三脚架云台及机头配套的摄像机托板，支持承载与快速拆装要求。</w:t>
            </w:r>
          </w:p>
        </w:tc>
      </w:tr>
      <w:tr w14:paraId="1F0B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839" w:type="dxa"/>
            <w:shd w:val="clear" w:color="auto" w:fill="auto"/>
            <w:vAlign w:val="center"/>
          </w:tcPr>
          <w:p w14:paraId="56F2A93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513" w:type="dxa"/>
            <w:shd w:val="clear" w:color="auto" w:fill="auto"/>
            <w:vAlign w:val="center"/>
          </w:tcPr>
          <w:p w14:paraId="6FD0E5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HDR转换</w:t>
            </w:r>
          </w:p>
        </w:tc>
        <w:tc>
          <w:tcPr>
            <w:tcW w:w="795" w:type="dxa"/>
            <w:shd w:val="clear" w:color="auto" w:fill="auto"/>
            <w:vAlign w:val="center"/>
          </w:tcPr>
          <w:p w14:paraId="670CE0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04" w:type="dxa"/>
            <w:shd w:val="clear" w:color="auto" w:fill="auto"/>
            <w:noWrap/>
            <w:vAlign w:val="center"/>
          </w:tcPr>
          <w:p w14:paraId="0164D4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679" w:type="dxa"/>
            <w:shd w:val="clear" w:color="auto" w:fill="auto"/>
            <w:vAlign w:val="center"/>
          </w:tcPr>
          <w:p w14:paraId="1994B83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需支持4K模式下HDR转换和色域转换，支持≥6路输入上变换；支持≥3路输出下变换。</w:t>
            </w:r>
          </w:p>
        </w:tc>
      </w:tr>
      <w:tr w14:paraId="4D9B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839" w:type="dxa"/>
            <w:shd w:val="clear" w:color="auto" w:fill="auto"/>
            <w:vAlign w:val="center"/>
          </w:tcPr>
          <w:p w14:paraId="18B33D7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513" w:type="dxa"/>
            <w:shd w:val="clear" w:color="auto" w:fill="auto"/>
            <w:vAlign w:val="center"/>
          </w:tcPr>
          <w:p w14:paraId="3CB1A8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三脚架</w:t>
            </w:r>
          </w:p>
        </w:tc>
        <w:tc>
          <w:tcPr>
            <w:tcW w:w="795" w:type="dxa"/>
            <w:shd w:val="clear" w:color="auto" w:fill="auto"/>
            <w:noWrap/>
            <w:vAlign w:val="center"/>
          </w:tcPr>
          <w:p w14:paraId="7EFAAE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04" w:type="dxa"/>
            <w:shd w:val="clear" w:color="auto" w:fill="auto"/>
            <w:noWrap/>
            <w:vAlign w:val="center"/>
          </w:tcPr>
          <w:p w14:paraId="18914A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679" w:type="dxa"/>
            <w:shd w:val="clear" w:color="auto" w:fill="auto"/>
            <w:vAlign w:val="top"/>
          </w:tcPr>
          <w:p w14:paraId="5F5ECA26">
            <w:pPr>
              <w:keepNext w:val="0"/>
              <w:keepLines w:val="0"/>
              <w:widowControl/>
              <w:numPr>
                <w:ilvl w:val="-1"/>
                <w:numId w:val="0"/>
              </w:numPr>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1、云台类型：球碗型液压云台；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2、云台特点：发光水平泡、配有1/4及3/8外接螺丝孔；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3、云台碗径：≥100mm；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4、云台承重：≥30kg；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5、动平衡：≥15档调节；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6、水平/垂直阻尼：≥7档调节；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7、俯仰范围：90度— -80度；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8、架体结构：三段式支撑，具备快速锁扣结构；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9、架体材质：碳纤维；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10、标配配件：可伸缩手柄*2，脚架软包*1、重型脚轮*1。</w:t>
            </w:r>
          </w:p>
        </w:tc>
      </w:tr>
      <w:tr w14:paraId="218F8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839" w:type="dxa"/>
            <w:shd w:val="clear" w:color="auto" w:fill="auto"/>
            <w:vAlign w:val="center"/>
          </w:tcPr>
          <w:p w14:paraId="7925E61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513" w:type="dxa"/>
            <w:shd w:val="clear" w:color="auto" w:fill="auto"/>
            <w:vAlign w:val="center"/>
          </w:tcPr>
          <w:p w14:paraId="056B7D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无线内部通话系统</w:t>
            </w:r>
          </w:p>
        </w:tc>
        <w:tc>
          <w:tcPr>
            <w:tcW w:w="795" w:type="dxa"/>
            <w:shd w:val="clear" w:color="auto" w:fill="auto"/>
            <w:noWrap/>
            <w:vAlign w:val="center"/>
          </w:tcPr>
          <w:p w14:paraId="5F8D3C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04" w:type="dxa"/>
            <w:shd w:val="clear" w:color="auto" w:fill="auto"/>
            <w:noWrap/>
            <w:vAlign w:val="center"/>
          </w:tcPr>
          <w:p w14:paraId="77072A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679" w:type="dxa"/>
            <w:shd w:val="clear" w:color="auto" w:fill="auto"/>
            <w:vAlign w:val="center"/>
          </w:tcPr>
          <w:p w14:paraId="286BFD5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29"/>
                <w:lang w:val="en-US" w:eastAsia="zh-CN" w:bidi="ar"/>
              </w:rPr>
              <w:t>1、系统需配备全双工无线语音通话及 TALLY 功能，设备≥：四通道通话主站、无线通话主站及子机（含专业通话耳机）、双通道两线/四线转换器</w:t>
            </w:r>
            <w:r>
              <w:rPr>
                <w:rStyle w:val="29"/>
                <w:rFonts w:hint="eastAsia"/>
                <w:lang w:val="en-US" w:eastAsia="zh-CN" w:bidi="ar"/>
              </w:rPr>
              <w:t>等</w:t>
            </w:r>
            <w:r>
              <w:rPr>
                <w:rStyle w:val="29"/>
                <w:lang w:val="en-US" w:eastAsia="zh-CN" w:bidi="ar"/>
              </w:rPr>
              <w:t>部分组成；</w:t>
            </w:r>
            <w:r>
              <w:rPr>
                <w:rStyle w:val="29"/>
                <w:lang w:val="en-US" w:eastAsia="zh-CN" w:bidi="ar"/>
              </w:rPr>
              <w:br w:type="textWrapping"/>
            </w:r>
            <w:r>
              <w:rPr>
                <w:rStyle w:val="29"/>
                <w:lang w:val="en-US" w:eastAsia="zh-CN" w:bidi="ar"/>
              </w:rPr>
              <w:t>2、四通道通话主站参数需满足：标准19寸1RU四通道通话主站；主站配有自动感应的耳麦连接器和内置扬声器，支持头戴式耳机和鹅颈麦切换选择；四通道均配有独立的呼叫，对讲，收听按键；支持无线通话设备联动同步控制；配置≥轻型单耳通话耳麦*1，18吋鹅颈话筒*1；</w:t>
            </w:r>
            <w:r>
              <w:rPr>
                <w:rStyle w:val="29"/>
                <w:lang w:val="en-US" w:eastAsia="zh-CN" w:bidi="ar"/>
              </w:rPr>
              <w:br w:type="textWrapping"/>
            </w:r>
            <w:r>
              <w:rPr>
                <w:rStyle w:val="29"/>
                <w:lang w:val="en-US" w:eastAsia="zh-CN" w:bidi="ar"/>
              </w:rPr>
              <w:t>3、无线通话主站及子机参数需满足：设备工作频段为 UHF，内置自动跳频机制，可智能识别并避开干扰信道；稳定传输≥450米高质量全双工语音通话；</w:t>
            </w:r>
            <w:r>
              <w:rPr>
                <w:rStyle w:val="29"/>
                <w:rFonts w:hint="eastAsia"/>
                <w:lang w:val="en-US" w:eastAsia="zh-CN" w:bidi="ar"/>
              </w:rPr>
              <w:t>支持</w:t>
            </w:r>
            <w:r>
              <w:rPr>
                <w:rStyle w:val="29"/>
                <w:lang w:val="en-US" w:eastAsia="zh-CN" w:bidi="ar"/>
              </w:rPr>
              <w:t>加密；主机支持3芯XLR接口鹅颈麦，8芯专业通话耳机，3.5mm接口通用耳机；具有分组通话的功能；无线子机具备大容量内置锂电池，充满电可以使用10小时以</w:t>
            </w:r>
            <w:r>
              <w:rPr>
                <w:rStyle w:val="30"/>
                <w:lang w:val="en-US" w:eastAsia="zh-CN" w:bidi="ar"/>
              </w:rPr>
              <w:t>上；支持应急保障；设备包含≥：子机*10，专业通话耳机*10，主持人用空气导管耳机*2，主机用通话耳机*1，主机用通话麦克*1；</w:t>
            </w:r>
            <w:r>
              <w:rPr>
                <w:rStyle w:val="29"/>
                <w:lang w:val="en-US" w:eastAsia="zh-CN" w:bidi="ar"/>
              </w:rPr>
              <w:br w:type="textWrapping"/>
            </w:r>
            <w:r>
              <w:rPr>
                <w:rStyle w:val="29"/>
                <w:lang w:val="en-US" w:eastAsia="zh-CN" w:bidi="ar"/>
              </w:rPr>
              <w:t>4、双通道两线/四线转换器参数需满足：均配置独立的输入输出增益调节模块与状态显示功能；</w:t>
            </w:r>
            <w:r>
              <w:rPr>
                <w:rStyle w:val="29"/>
                <w:lang w:val="en-US" w:eastAsia="zh-CN" w:bidi="ar"/>
              </w:rPr>
              <w:br w:type="textWrapping"/>
            </w:r>
            <w:r>
              <w:rPr>
                <w:rStyle w:val="29"/>
                <w:lang w:val="en-US" w:eastAsia="zh-CN" w:bidi="ar"/>
              </w:rPr>
              <w:t>5、需具备双向信号转换能力，</w:t>
            </w:r>
            <w:r>
              <w:rPr>
                <w:rStyle w:val="29"/>
                <w:rFonts w:hint="eastAsia"/>
                <w:lang w:val="en-US" w:eastAsia="zh-CN" w:bidi="ar"/>
              </w:rPr>
              <w:t>支持</w:t>
            </w:r>
            <w:r>
              <w:rPr>
                <w:rStyle w:val="29"/>
                <w:lang w:val="en-US" w:eastAsia="zh-CN" w:bidi="ar"/>
              </w:rPr>
              <w:t>两路 2 线信号到两路 4 线信号的转换，支持平衡线路与非平衡线路的灵活转换；</w:t>
            </w:r>
          </w:p>
        </w:tc>
      </w:tr>
      <w:tr w14:paraId="70E8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839" w:type="dxa"/>
            <w:shd w:val="clear" w:color="auto" w:fill="auto"/>
            <w:vAlign w:val="center"/>
          </w:tcPr>
          <w:p w14:paraId="6AE017E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513" w:type="dxa"/>
            <w:shd w:val="clear" w:color="auto" w:fill="auto"/>
            <w:vAlign w:val="center"/>
          </w:tcPr>
          <w:p w14:paraId="1707A5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双联监看设备</w:t>
            </w:r>
          </w:p>
        </w:tc>
        <w:tc>
          <w:tcPr>
            <w:tcW w:w="795" w:type="dxa"/>
            <w:shd w:val="clear" w:color="auto" w:fill="auto"/>
            <w:noWrap/>
            <w:vAlign w:val="center"/>
          </w:tcPr>
          <w:p w14:paraId="1E0312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04" w:type="dxa"/>
            <w:shd w:val="clear" w:color="auto" w:fill="auto"/>
            <w:noWrap/>
            <w:vAlign w:val="center"/>
          </w:tcPr>
          <w:p w14:paraId="7C0231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679" w:type="dxa"/>
            <w:shd w:val="clear" w:color="auto" w:fill="auto"/>
            <w:vAlign w:val="center"/>
          </w:tcPr>
          <w:p w14:paraId="1B6A9B2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1、采用机架式安装设计，配备</w:t>
            </w:r>
            <w:r>
              <w:rPr>
                <w:rStyle w:val="29"/>
                <w:lang w:val="en-US" w:eastAsia="zh-CN" w:bidi="ar"/>
              </w:rPr>
              <w:t>≥</w:t>
            </w:r>
            <w:r>
              <w:rPr>
                <w:rFonts w:hint="eastAsia" w:ascii="宋体" w:hAnsi="宋体" w:eastAsia="宋体" w:cs="宋体"/>
                <w:i w:val="0"/>
                <w:iCs w:val="0"/>
                <w:color w:val="000000"/>
                <w:kern w:val="0"/>
                <w:sz w:val="24"/>
                <w:szCs w:val="24"/>
                <w:u w:val="none"/>
                <w:lang w:val="en-US" w:eastAsia="zh-CN" w:bidi="ar"/>
              </w:rPr>
              <w:t>8英寸双联显示屏，支持4K超高清信号监看，能同时呈现两路视频画面；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2、接口端覆盖12G/6G/3G/HD/SD-SDI全规格SDI接口及HDMI2.0接口；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3、功能指标：音频与监看：支持 SDI 信号音频解嵌，可分离视频信号中的音频轨道，且内置扬声器实现音频实时监听；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4、专业图像分析：搭载波形图、矢量图等专业图像分析工具，可检测画面亮度、色彩相位等参数；色彩适配：支持 REC709、EBU、DCI-P3 D65、DCI-P3、REC2020等多类色彩。</w:t>
            </w:r>
          </w:p>
        </w:tc>
      </w:tr>
      <w:tr w14:paraId="4A3B3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839" w:type="dxa"/>
            <w:shd w:val="clear" w:color="auto" w:fill="auto"/>
            <w:vAlign w:val="center"/>
          </w:tcPr>
          <w:p w14:paraId="12B7C2D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513" w:type="dxa"/>
            <w:shd w:val="clear" w:color="auto" w:fill="auto"/>
            <w:vAlign w:val="center"/>
          </w:tcPr>
          <w:p w14:paraId="439841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4K数字矩阵</w:t>
            </w:r>
          </w:p>
        </w:tc>
        <w:tc>
          <w:tcPr>
            <w:tcW w:w="795" w:type="dxa"/>
            <w:shd w:val="clear" w:color="auto" w:fill="auto"/>
            <w:noWrap/>
            <w:vAlign w:val="center"/>
          </w:tcPr>
          <w:p w14:paraId="6F8B59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04" w:type="dxa"/>
            <w:shd w:val="clear" w:color="auto" w:fill="auto"/>
            <w:noWrap/>
            <w:vAlign w:val="center"/>
          </w:tcPr>
          <w:p w14:paraId="6F92EB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679" w:type="dxa"/>
            <w:shd w:val="clear" w:color="auto" w:fill="auto"/>
            <w:vAlign w:val="center"/>
          </w:tcPr>
          <w:p w14:paraId="62B612E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1、机架式主机，全硬件架构，双电源；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2、≥32路12G-SDI输入，32路12G-SDI输出，最高支持2160P60，1路REF输入；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3、≥3个RS422控制接口，2个RS232控制接口；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4、支持第三方软件主机进行远程控制，1个NMS网络管理口，支持网络控制；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5、支持日志记录、导出功能。</w:t>
            </w:r>
          </w:p>
        </w:tc>
      </w:tr>
      <w:tr w14:paraId="5538C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839" w:type="dxa"/>
            <w:shd w:val="clear" w:color="auto" w:fill="auto"/>
            <w:vAlign w:val="center"/>
          </w:tcPr>
          <w:p w14:paraId="2C9224D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513" w:type="dxa"/>
            <w:shd w:val="clear" w:color="auto" w:fill="auto"/>
            <w:vAlign w:val="center"/>
          </w:tcPr>
          <w:p w14:paraId="12C906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矩阵控制面板</w:t>
            </w:r>
          </w:p>
        </w:tc>
        <w:tc>
          <w:tcPr>
            <w:tcW w:w="795" w:type="dxa"/>
            <w:shd w:val="clear" w:color="auto" w:fill="auto"/>
            <w:noWrap/>
            <w:vAlign w:val="center"/>
          </w:tcPr>
          <w:p w14:paraId="75F2D8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04" w:type="dxa"/>
            <w:shd w:val="clear" w:color="auto" w:fill="auto"/>
            <w:noWrap/>
            <w:vAlign w:val="center"/>
          </w:tcPr>
          <w:p w14:paraId="75175B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679" w:type="dxa"/>
            <w:shd w:val="clear" w:color="auto" w:fill="auto"/>
            <w:vAlign w:val="center"/>
          </w:tcPr>
          <w:p w14:paraId="244B100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1、机箱，单电源；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2、≥1个RS422控制接口，1个RS232控制接口；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3、控制按键及对应主机工作模式显示灯。</w:t>
            </w:r>
          </w:p>
        </w:tc>
      </w:tr>
      <w:tr w14:paraId="38F8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839" w:type="dxa"/>
            <w:shd w:val="clear" w:color="auto" w:fill="auto"/>
            <w:vAlign w:val="center"/>
          </w:tcPr>
          <w:p w14:paraId="392027B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513" w:type="dxa"/>
            <w:shd w:val="clear" w:color="auto" w:fill="auto"/>
            <w:vAlign w:val="center"/>
          </w:tcPr>
          <w:p w14:paraId="08B84D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UHD自动倒换器</w:t>
            </w:r>
          </w:p>
        </w:tc>
        <w:tc>
          <w:tcPr>
            <w:tcW w:w="795" w:type="dxa"/>
            <w:shd w:val="clear" w:color="auto" w:fill="auto"/>
            <w:noWrap/>
            <w:vAlign w:val="center"/>
          </w:tcPr>
          <w:p w14:paraId="3FB332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04" w:type="dxa"/>
            <w:shd w:val="clear" w:color="auto" w:fill="auto"/>
            <w:noWrap/>
            <w:vAlign w:val="center"/>
          </w:tcPr>
          <w:p w14:paraId="51C47E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679" w:type="dxa"/>
            <w:shd w:val="clear" w:color="auto" w:fill="auto"/>
            <w:vAlign w:val="center"/>
          </w:tcPr>
          <w:p w14:paraId="3571A78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1、机架式主机，全硬件架构，双电源；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2、带液晶屏，可显示主机每路输入信号的状态、格式、行场相位，REF状况，网口IP地址，箱内温度等信息；支持NTP方式授时；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3、≥4路12G-SDI视音频信号输入，带线缆均衡，2路12G-SDI 输出，最高支持2160P60，支持DDR垫片信号通道；1路REF信号输入；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4、自动模式下支持信号倒换监测,视频倒换监测，音频倒换监测；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5、≥4个RS422控制接口，2个RS232控制接口；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6、需支持第三方软件主机进行远程控制，1个网络管理口，支持网络控制、支持SNMP协议。</w:t>
            </w:r>
          </w:p>
        </w:tc>
      </w:tr>
      <w:tr w14:paraId="09F3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39" w:type="dxa"/>
            <w:shd w:val="clear" w:color="auto" w:fill="auto"/>
            <w:vAlign w:val="center"/>
          </w:tcPr>
          <w:p w14:paraId="1BD0E78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513" w:type="dxa"/>
            <w:shd w:val="clear" w:color="auto" w:fill="auto"/>
            <w:vAlign w:val="center"/>
          </w:tcPr>
          <w:p w14:paraId="02127D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UHD自动倒换器控制面板</w:t>
            </w:r>
          </w:p>
        </w:tc>
        <w:tc>
          <w:tcPr>
            <w:tcW w:w="795" w:type="dxa"/>
            <w:shd w:val="clear" w:color="auto" w:fill="auto"/>
            <w:noWrap/>
            <w:vAlign w:val="center"/>
          </w:tcPr>
          <w:p w14:paraId="5D4F40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04" w:type="dxa"/>
            <w:shd w:val="clear" w:color="auto" w:fill="auto"/>
            <w:noWrap/>
            <w:vAlign w:val="center"/>
          </w:tcPr>
          <w:p w14:paraId="200E2A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679" w:type="dxa"/>
            <w:shd w:val="clear" w:color="auto" w:fill="auto"/>
            <w:vAlign w:val="center"/>
          </w:tcPr>
          <w:p w14:paraId="1061803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1、机架式主机，单电源；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2、≥4个RS422控制接口，可连接4个主机进行远程控制；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3、≥4组独立控制按键及对应主机工作模式显示灯。</w:t>
            </w:r>
          </w:p>
        </w:tc>
      </w:tr>
      <w:tr w14:paraId="161A9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839" w:type="dxa"/>
            <w:shd w:val="clear" w:color="auto" w:fill="auto"/>
            <w:vAlign w:val="center"/>
          </w:tcPr>
          <w:p w14:paraId="7D54383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513" w:type="dxa"/>
            <w:shd w:val="clear" w:color="auto" w:fill="auto"/>
            <w:vAlign w:val="center"/>
          </w:tcPr>
          <w:p w14:paraId="7CD47F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UHD SDI多画面处理器</w:t>
            </w:r>
          </w:p>
        </w:tc>
        <w:tc>
          <w:tcPr>
            <w:tcW w:w="795" w:type="dxa"/>
            <w:shd w:val="clear" w:color="auto" w:fill="auto"/>
            <w:noWrap/>
            <w:vAlign w:val="center"/>
          </w:tcPr>
          <w:p w14:paraId="69EF6B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04" w:type="dxa"/>
            <w:shd w:val="clear" w:color="auto" w:fill="auto"/>
            <w:noWrap/>
            <w:vAlign w:val="center"/>
          </w:tcPr>
          <w:p w14:paraId="38ECB6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679" w:type="dxa"/>
            <w:shd w:val="clear" w:color="auto" w:fill="auto"/>
            <w:vAlign w:val="center"/>
          </w:tcPr>
          <w:p w14:paraId="46FC208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1、机架式主机，全硬件架构，双电源；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2、无极旋钮，≥2.0寸高像素液晶屏；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3、SDI信号输入≥：16路 12G-SDI、SDI信号环出≥：16路；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4、输出：≥2路12G-SDI、2路HDMI 2.0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5、输入制式：1080 25p/29.97p/30p/50p/59.94p/60p、2160 25p/29.97p/30p/50p/59.94p/60p；</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6、输出制式：高清1080P50，超高清2160P50、输出模式：支持单屏模式、双屏模式、四屏模式输出；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7、需支持网络时钟校时、LTC时码显示、需支持UMD文字、背景颜色、透明度设置、需支持视频窗、音频表、UMD、Tally灯、时钟等显示元素；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8、需支持对图像内容进行监测，对图像中出现的静帧、黑场、彩条进行报警、需支持对音频内容进行监测，对音频中出现的静音、爆音进行报警，同时可设置爆音监测电平阈值；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9、需支持 Web页面设置，支持远程升级以及恢复出厂设置。</w:t>
            </w:r>
          </w:p>
        </w:tc>
      </w:tr>
      <w:tr w14:paraId="3C32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839" w:type="dxa"/>
            <w:shd w:val="clear" w:color="auto" w:fill="auto"/>
            <w:vAlign w:val="center"/>
          </w:tcPr>
          <w:p w14:paraId="382699B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513" w:type="dxa"/>
            <w:shd w:val="clear" w:color="auto" w:fill="auto"/>
            <w:vAlign w:val="center"/>
          </w:tcPr>
          <w:p w14:paraId="45FDC6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UHD信号转换器</w:t>
            </w:r>
          </w:p>
        </w:tc>
        <w:tc>
          <w:tcPr>
            <w:tcW w:w="795" w:type="dxa"/>
            <w:shd w:val="clear" w:color="auto" w:fill="auto"/>
            <w:noWrap/>
            <w:vAlign w:val="center"/>
          </w:tcPr>
          <w:p w14:paraId="1FC47F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04" w:type="dxa"/>
            <w:shd w:val="clear" w:color="auto" w:fill="auto"/>
            <w:noWrap/>
            <w:vAlign w:val="center"/>
          </w:tcPr>
          <w:p w14:paraId="16AE1F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679" w:type="dxa"/>
            <w:shd w:val="clear" w:color="auto" w:fill="auto"/>
            <w:vAlign w:val="center"/>
          </w:tcPr>
          <w:p w14:paraId="1F1634DB">
            <w:pPr>
              <w:keepNext w:val="0"/>
              <w:keepLines w:val="0"/>
              <w:widowControl/>
              <w:numPr>
                <w:ilvl w:val="0"/>
                <w:numId w:val="3"/>
              </w:numPr>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标准机架式主机，全硬件架构；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2、具有智能控温功能；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3、具备LED指示灯和错误报警功能；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4、机箱支持≥10张模块卡插入，支持网络集中控制；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▲5、配备：4K视分卡*3，支持2路12G-SDI输入，8路12G-SDI输出，兼容HD，3G、6G，带电缆均衡；</w:t>
            </w:r>
          </w:p>
          <w:p w14:paraId="36C78636">
            <w:pPr>
              <w:keepNext w:val="0"/>
              <w:keepLines w:val="0"/>
              <w:widowControl/>
              <w:numPr>
                <w:ilvl w:val="-1"/>
                <w:numId w:val="0"/>
              </w:numPr>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▲6、配备：UHD上变换卡*2，含接口板，最高支持2160P60；1路HD-SDI输入，1路HD-SDI环出，2路上变换12G-SDI输出，1路REF输入，带帧同步功能；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7、支持多种上变换方式选择，上变换图像质量参数可调整；支持LUT表导入，对相关参数进行调整；支持拨码开关选择配置上变换方式。</w:t>
            </w:r>
          </w:p>
        </w:tc>
      </w:tr>
      <w:tr w14:paraId="14AB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39" w:type="dxa"/>
            <w:shd w:val="clear" w:color="auto" w:fill="auto"/>
            <w:noWrap/>
            <w:vAlign w:val="center"/>
          </w:tcPr>
          <w:p w14:paraId="020328A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513" w:type="dxa"/>
            <w:shd w:val="clear" w:color="auto" w:fill="auto"/>
            <w:noWrap/>
            <w:vAlign w:val="center"/>
          </w:tcPr>
          <w:p w14:paraId="0A4BBF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直播背包</w:t>
            </w:r>
          </w:p>
        </w:tc>
        <w:tc>
          <w:tcPr>
            <w:tcW w:w="795" w:type="dxa"/>
            <w:shd w:val="clear" w:color="auto" w:fill="auto"/>
            <w:noWrap/>
            <w:vAlign w:val="center"/>
          </w:tcPr>
          <w:p w14:paraId="28FB1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04" w:type="dxa"/>
            <w:shd w:val="clear" w:color="auto" w:fill="auto"/>
            <w:noWrap/>
            <w:vAlign w:val="center"/>
          </w:tcPr>
          <w:p w14:paraId="1BC878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679" w:type="dxa"/>
            <w:shd w:val="clear" w:color="auto" w:fill="auto"/>
            <w:vAlign w:val="center"/>
          </w:tcPr>
          <w:p w14:paraId="77640CD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▲1、配置≥3个内置5G模组，≥1个外置扩展口、≥1个WiFi、≥1个有线网口；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2、通讯模组应使用内置天线矩阵；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3、支持在终端液晶上或者远程监看和控制每张SIM卡的工作状态，监看状态至少包括是否插卡、是否拨号成功、运营商名称、信号强度以及实时码率；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4、配置≥1个12G SDI和≥一个HDMI2.0(Type-A)音视频输入接口，支持音频嵌入，SDI和HDMI接口实时双备份且SDI输入优先，任意一路信号丢失不会信号中断；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5、配置≥1个HDMI环出接口；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6、配置≥1个串行接口。支持双色Tally灯的控制；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7、支持4K 2160P25/30/50/60，HD 1080P24/25/30/50/60，HD 720P50/60等多种帧频格式；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 支持H.265(HEVC)编码及H.264视频编码，可软件切换两种编码方式，编码参数可设置，H.265可支持10bit；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9、支持实时直播、高质量延时直播（边存边传）和文件传输；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10、支持CBR和VBR两种编码码率工作模式；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11、在直播模式下可以将编码流实时收录在本地，在设备空闲状态下可以将收录文件同步到服务器；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12、支持直播或录播转发状态下自动或者手动开始设置，可以通过系统设置选择自动开始或者手动开始。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13、终端支持单卡推流，最大支持4路并发推流(rtmp/rtmps/rtsp/srt)，可以选择通过指定的网卡直接进行本地推流。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14、录播模式下支持定时推流功能。支持节目推流功能,1个推流任务最大支持4路节目推流(rtmp/rtmps/rtsp/srt)。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15、支持多机位帧同步功能；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16、支持RTMP/RTMPS、HLS、UDP-TS、SRT、RTSP等常用流媒体协议，可以在不通过管控平台配合情况下在液晶上自主对流协议进行管理；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17、支持加密功能，可以对实时节目和文件进行加密传输；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18、支持节目返送功能。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19、配置≥128G本地高速存储；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20、内置电池，续航时间≥4小时，并支持外置摄像机电池和交流电源适配器供电。支持电池冗余热插拔。支持热插拔切换。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21、配置≥5英寸电容触摸显示屏。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22、支持对直播同步文件和高质量延时直播收录文件及二进制传输文件的集中任务管理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23、支持通过液晶屏对内置电池电量和充放电状态实时监看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24、具备防误操作设计，液晶屏具备锁屏和屏幕保护功能，具备防止误碰关机功能；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25、电源输入接口具备安全锁；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26、支持信号源音频监听功能。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27、支持IFB通话。</w:t>
            </w:r>
          </w:p>
          <w:p w14:paraId="106C90A0">
            <w:pPr>
              <w:keepNext w:val="0"/>
              <w:keepLines w:val="0"/>
              <w:widowControl/>
              <w:suppressLineNumbers w:val="0"/>
              <w:jc w:val="left"/>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4"/>
                <w:szCs w:val="24"/>
                <w:u w:val="none"/>
                <w:lang w:val="en-US" w:eastAsia="zh-CN" w:bidi="ar"/>
              </w:rPr>
              <w:t>28、每套背包需提供≥3家运营商SIM卡，总流量≥880G/年，连续提供3年</w:t>
            </w:r>
          </w:p>
        </w:tc>
      </w:tr>
      <w:tr w14:paraId="1E3E7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839" w:type="dxa"/>
            <w:shd w:val="clear" w:color="auto" w:fill="auto"/>
            <w:vAlign w:val="center"/>
          </w:tcPr>
          <w:p w14:paraId="6791BCD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513" w:type="dxa"/>
            <w:shd w:val="clear" w:color="auto" w:fill="auto"/>
            <w:vAlign w:val="center"/>
          </w:tcPr>
          <w:p w14:paraId="3A839E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直播背包流媒体推流设备</w:t>
            </w:r>
          </w:p>
        </w:tc>
        <w:tc>
          <w:tcPr>
            <w:tcW w:w="795" w:type="dxa"/>
            <w:shd w:val="clear" w:color="auto" w:fill="auto"/>
            <w:noWrap/>
            <w:vAlign w:val="center"/>
          </w:tcPr>
          <w:p w14:paraId="678CB9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04" w:type="dxa"/>
            <w:shd w:val="clear" w:color="auto" w:fill="auto"/>
            <w:noWrap/>
            <w:vAlign w:val="center"/>
          </w:tcPr>
          <w:p w14:paraId="312CF8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679" w:type="dxa"/>
            <w:shd w:val="clear" w:color="auto" w:fill="auto"/>
            <w:vAlign w:val="center"/>
          </w:tcPr>
          <w:p w14:paraId="6438646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1、配备液晶显示面板，设置操作按键，可查看网口地址、软件版本、系统状态等相关信息。≥4个千兆网口，≥4个3.0USB，≥1个HDMI/VGA接口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2、机架式设备，配置4通道4K输出卡，同时输出2路4K或者4路高清信号；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3、处理器不低于四核八线程，主频≥3.70GHz，不低于4TB 7200转企业级硬盘，不低于32G DDR4内存，采用Linux操作系统；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4、提供友好的控制端管理UI，为用户提供终端、直播节目、文件及系统的在线管理；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5、支持在实时直播、录播和文件传输工作模式之间切换，可以控制直播及录播的开始及停止；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6、提供对终端的授权接入安全机制；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7、提供直播预览和直播状态监控机制，可以在线实时监看终端直播视频及传输状态；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8、可以远程控制终端工作状态和工作参数，包括传输参数、编码参数和传输启停等；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9、支持录播控制功能，可以控制终端边录制边传输，支持断点续传服务，可以控制服务器边接收边通过SDI通道输出，可以设置定时推流；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10、提供对终端不同移动通讯网卡的在线管理功能，实时进行链路质量监测和流量曲线实时显示；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11、支持双向VOIP通话功能；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12、支持将指定的直播流进行解码输出，输出通道可选择，同一个节目可以在多个输出通道上同时输出；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13、支持对直播流进行在线分发，可以通过UDP-TS、RTMP、RTMPS、HLS、SRT、RTSP等流媒体协议进行流实时节目分发，单终端分发数量≥4路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14、支持直播过程中控制服务器端收录启停，收录文件可以选择保存为TS或者MP4格式。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15、可以对收录存储在服务器的节目文件进行检查、查询和下载等管理，同时支持对节目文件解码后在指定的信号输出通道上通过SDI接口输出。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16、支持多ISP接入功能；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17、端到端最小输出延时时间小于1秒；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18、在直播模式下，支持远程对终端的最大传输码率进行设置，最大传输码率不低于70Mbps，修改传输码率时不会造成传输中断；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19、在传输中断时，SDI输出画面应停留在最后一帧，避免出现黑屏现象；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20、支持分布式部署；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21、要求在分布式部署方式下，解码服务器支持Tally信号采集和外来即插即用声卡配合实现Tally和通话功能；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22、支持对收录文件、直播同步录制上传文件、高质量延时直播回传文件等节目文件进行集中管理，支持下载、SDI解码输出等操作；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23、支持返送功能；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24、支持外来IP流接入；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25、支持对高质量延时直播可视化管理；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26、要求可以对SDI解码输出进行可视化管理，能控制SDI输出的制式变换，支持选择SDI输出通道，可以监看输出通道的状态；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27、支持NDI输出；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28、支持对终端回传节目进行转码，转码参数可配置，并允许选择使用原始码流或者转码码流进行推流；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29、支持可以跟外部存储系统对接，将回传节目实时写入外部存储；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30、支持PGM返送功能。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31、支持Tally信号采集和转换;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32、支持IP拉流输入采集，支持流协议rtmp/rtmps/rtsp/srt。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33、支持服务器文件网盘分享功能。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34、支持服务器SDI参考输入信号的检测。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35、支持竖屏监看。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36、要求控制软件对多终端列表监控与管理;。</w:t>
            </w:r>
          </w:p>
        </w:tc>
      </w:tr>
      <w:tr w14:paraId="6AA0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839" w:type="dxa"/>
            <w:shd w:val="clear" w:color="auto" w:fill="auto"/>
            <w:vAlign w:val="center"/>
          </w:tcPr>
          <w:p w14:paraId="75A829B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513" w:type="dxa"/>
            <w:shd w:val="clear" w:color="auto" w:fill="auto"/>
            <w:vAlign w:val="center"/>
          </w:tcPr>
          <w:p w14:paraId="2049D8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三维拓展现实系统</w:t>
            </w:r>
          </w:p>
        </w:tc>
        <w:tc>
          <w:tcPr>
            <w:tcW w:w="795" w:type="dxa"/>
            <w:shd w:val="clear" w:color="auto" w:fill="auto"/>
            <w:noWrap/>
            <w:vAlign w:val="center"/>
          </w:tcPr>
          <w:p w14:paraId="165FFC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04" w:type="dxa"/>
            <w:shd w:val="clear" w:color="auto" w:fill="auto"/>
            <w:noWrap/>
            <w:vAlign w:val="center"/>
          </w:tcPr>
          <w:p w14:paraId="2F634C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679" w:type="dxa"/>
            <w:shd w:val="clear" w:color="auto" w:fill="auto"/>
            <w:vAlign w:val="center"/>
          </w:tcPr>
          <w:p w14:paraId="013CC1E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1、支持扩展现实功能，可以将虚拟场景的画面扩展到LED以外的区域，实现“360°无限场景”的显示效果，摄像机推拉摇移时，LED屏内和屏外画面保持同步，输出画面无抖动、撕裂、闪烁现象；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2、支持avi、hvc、wmv、mp4、3gp、mpg、mpeg、mov、mkv、m2v、ts、 mts、m2t、m2ts、flv、f4v、m4v、dat、vob、webm、bmp、jpg、jpeg、png、ico、tiff、cur、tif 多种视频图像文件格式，单视频硬解分辨率上限可达16384*16384，支持YUV420/422/444，支持10/12bit色深，支持透明通道；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3、具备高性能实时渲染能力；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4、支持匹配追踪数据，同步对接至渲染系统，并实时渲染虚拟场景；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5、支持16K * 16K视频和图像分辨率同步播放；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6、支持实时修改引擎场景工程；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7、支持同时加载多个虚拟场景进行渲染；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8、支持无人值守，通过合成端实现一体化播控；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9、支持实时粒子视觉效果文件；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10、支持对接 主流渲染引擎；</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11、支持对接主流摄像机追踪系统；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12、支持渲染画面万兆传输至服务器；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13、支持与服务器同步时间线进行渲染；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14、支持接收局域网内的OSC控制指令；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15、支持将多套渲染媒体服务器对接至一个合成系统支持通过切换工程，实现单台设备进行背景渲染/前景渲染两类应用模式的切换。</w:t>
            </w:r>
          </w:p>
        </w:tc>
      </w:tr>
      <w:tr w14:paraId="6D735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839" w:type="dxa"/>
            <w:shd w:val="clear" w:color="auto" w:fill="auto"/>
            <w:vAlign w:val="center"/>
          </w:tcPr>
          <w:p w14:paraId="75888A3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513" w:type="dxa"/>
            <w:shd w:val="clear" w:color="auto" w:fill="auto"/>
            <w:vAlign w:val="center"/>
          </w:tcPr>
          <w:p w14:paraId="6C4B2F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调光台</w:t>
            </w:r>
          </w:p>
        </w:tc>
        <w:tc>
          <w:tcPr>
            <w:tcW w:w="795" w:type="dxa"/>
            <w:shd w:val="clear" w:color="auto" w:fill="auto"/>
            <w:noWrap/>
            <w:vAlign w:val="center"/>
          </w:tcPr>
          <w:p w14:paraId="040A7B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04" w:type="dxa"/>
            <w:shd w:val="clear" w:color="auto" w:fill="auto"/>
            <w:noWrap/>
            <w:vAlign w:val="center"/>
          </w:tcPr>
          <w:p w14:paraId="2A7319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679" w:type="dxa"/>
            <w:shd w:val="clear" w:color="auto" w:fill="auto"/>
            <w:vAlign w:val="center"/>
          </w:tcPr>
          <w:p w14:paraId="0F1EDDC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1、灯光控制台配备≥6个DMX输出和1个DMX输入，需支持65536个通道参数，包含≥：10个电动推杆、1个总控推杆、AB场手动推杆、6个编码器、1个调光轮和1个轨迹球；背光按键；支持多用户操作，可设置各用户权限；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2、控制台接口：需具备2个千兆以太网口；≥4个USB接口，内置键盘；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配备MIDI输入输出接口、时间码接口、音频输入输出接口、麦克风输入接口等，可实现与音频设备、时序设备的联动，支持声控灯光、时间码同步灯光等复杂演出模式。</w:t>
            </w:r>
          </w:p>
        </w:tc>
      </w:tr>
      <w:tr w14:paraId="139D5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839" w:type="dxa"/>
            <w:shd w:val="clear" w:color="auto" w:fill="auto"/>
            <w:vAlign w:val="center"/>
          </w:tcPr>
          <w:p w14:paraId="174FFAE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513" w:type="dxa"/>
            <w:shd w:val="clear" w:color="auto" w:fill="auto"/>
            <w:vAlign w:val="center"/>
          </w:tcPr>
          <w:p w14:paraId="5929DC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操作台</w:t>
            </w:r>
          </w:p>
        </w:tc>
        <w:tc>
          <w:tcPr>
            <w:tcW w:w="795" w:type="dxa"/>
            <w:shd w:val="clear" w:color="auto" w:fill="auto"/>
            <w:noWrap/>
            <w:vAlign w:val="center"/>
          </w:tcPr>
          <w:p w14:paraId="59E573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c>
          <w:tcPr>
            <w:tcW w:w="804" w:type="dxa"/>
            <w:shd w:val="clear" w:color="auto" w:fill="auto"/>
            <w:noWrap/>
            <w:vAlign w:val="center"/>
          </w:tcPr>
          <w:p w14:paraId="2E3254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679" w:type="dxa"/>
            <w:shd w:val="clear" w:color="auto" w:fill="auto"/>
            <w:vAlign w:val="center"/>
          </w:tcPr>
          <w:p w14:paraId="6D71122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1、铝合金控制台，框架板材采用冷轧钢板，厚度≥1.5mm,承重≥300kg，台体参考深度为1200mm，工作面参考高度为地面以上730mm，并有校平器来调整；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2、控制台的水平高度可调节；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3、台面设有4U斜面，显示器直接摆放台面。控制台整体可拆分组合支持各自移动、变换位置和进行修改；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整个控制台安装含内部走线设计，配专业扎线槽，分电源线和信号线；尺寸严格按照19吋标准机架设计规范设计；底柜不落地，底柜前门为转轴式，后门插卡式，平面台上可嵌入式安装各类设备；要求控制台下部底柜空间能放下一台立式主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5、含PDU插排。</w:t>
            </w:r>
          </w:p>
        </w:tc>
      </w:tr>
    </w:tbl>
    <w:p w14:paraId="0244B077">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备注:▲为重要参数。</w:t>
      </w:r>
    </w:p>
    <w:sectPr>
      <w:headerReference r:id="rId3" w:type="default"/>
      <w:footerReference r:id="rId4" w:type="default"/>
      <w:footerReference r:id="rId5" w:type="even"/>
      <w:pgSz w:w="16838" w:h="11906" w:orient="landscape"/>
      <w:pgMar w:top="1389" w:right="1701" w:bottom="1361" w:left="1701" w:header="851" w:footer="992"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DB4D5">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95CF6">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3E95CF6">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CA602">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D78CAE">
                          <w:pPr>
                            <w:pStyle w:val="6"/>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9D78CAE">
                    <w:pPr>
                      <w:pStyle w:val="6"/>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633B1">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C12189"/>
    <w:multiLevelType w:val="singleLevel"/>
    <w:tmpl w:val="3BC12189"/>
    <w:lvl w:ilvl="0" w:tentative="0">
      <w:start w:val="1"/>
      <w:numFmt w:val="decimal"/>
      <w:suff w:val="nothing"/>
      <w:lvlText w:val="%1、"/>
      <w:lvlJc w:val="left"/>
    </w:lvl>
  </w:abstractNum>
  <w:abstractNum w:abstractNumId="1">
    <w:nsid w:val="54515382"/>
    <w:multiLevelType w:val="singleLevel"/>
    <w:tmpl w:val="54515382"/>
    <w:lvl w:ilvl="0" w:tentative="0">
      <w:start w:val="1"/>
      <w:numFmt w:val="decimal"/>
      <w:suff w:val="nothing"/>
      <w:lvlText w:val="%1、"/>
      <w:lvlJc w:val="left"/>
    </w:lvl>
  </w:abstractNum>
  <w:abstractNum w:abstractNumId="2">
    <w:nsid w:val="5E2425D0"/>
    <w:multiLevelType w:val="singleLevel"/>
    <w:tmpl w:val="5E2425D0"/>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evenAndOddHeaders w:val="1"/>
  <w:drawingGridHorizontalSpacing w:val="10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cxODRkZTkzMzcxYzlkZTlhODQ0YTE1M2I5NzViNTYifQ=="/>
  </w:docVars>
  <w:rsids>
    <w:rsidRoot w:val="0030106B"/>
    <w:rsid w:val="00000698"/>
    <w:rsid w:val="000011A5"/>
    <w:rsid w:val="00010BF1"/>
    <w:rsid w:val="00023BDD"/>
    <w:rsid w:val="00024D0A"/>
    <w:rsid w:val="00030CB2"/>
    <w:rsid w:val="0004030A"/>
    <w:rsid w:val="00041346"/>
    <w:rsid w:val="00053AFD"/>
    <w:rsid w:val="00057C84"/>
    <w:rsid w:val="00074B50"/>
    <w:rsid w:val="00082A58"/>
    <w:rsid w:val="00091335"/>
    <w:rsid w:val="000B39FD"/>
    <w:rsid w:val="000B42FA"/>
    <w:rsid w:val="000B5AE0"/>
    <w:rsid w:val="000B6345"/>
    <w:rsid w:val="000B63B4"/>
    <w:rsid w:val="000B7901"/>
    <w:rsid w:val="000C000F"/>
    <w:rsid w:val="000C39BB"/>
    <w:rsid w:val="000D0EB2"/>
    <w:rsid w:val="000D4ADE"/>
    <w:rsid w:val="000E5582"/>
    <w:rsid w:val="0010654E"/>
    <w:rsid w:val="001139C2"/>
    <w:rsid w:val="00115C13"/>
    <w:rsid w:val="0012051F"/>
    <w:rsid w:val="00121ED2"/>
    <w:rsid w:val="001327F4"/>
    <w:rsid w:val="00137A95"/>
    <w:rsid w:val="001431C5"/>
    <w:rsid w:val="001558BB"/>
    <w:rsid w:val="00161377"/>
    <w:rsid w:val="001640FF"/>
    <w:rsid w:val="0018274C"/>
    <w:rsid w:val="00185DB9"/>
    <w:rsid w:val="001A356B"/>
    <w:rsid w:val="001A75DA"/>
    <w:rsid w:val="001B3C20"/>
    <w:rsid w:val="001B446C"/>
    <w:rsid w:val="001B75A4"/>
    <w:rsid w:val="001C6A57"/>
    <w:rsid w:val="001D4B6A"/>
    <w:rsid w:val="001D7AA6"/>
    <w:rsid w:val="001F28D0"/>
    <w:rsid w:val="00204073"/>
    <w:rsid w:val="0020584D"/>
    <w:rsid w:val="00206E9A"/>
    <w:rsid w:val="002171BF"/>
    <w:rsid w:val="00227709"/>
    <w:rsid w:val="0023368B"/>
    <w:rsid w:val="00234448"/>
    <w:rsid w:val="00245D1C"/>
    <w:rsid w:val="002474B6"/>
    <w:rsid w:val="00256960"/>
    <w:rsid w:val="00280711"/>
    <w:rsid w:val="00281884"/>
    <w:rsid w:val="00294097"/>
    <w:rsid w:val="0029418C"/>
    <w:rsid w:val="002943CB"/>
    <w:rsid w:val="00295ECF"/>
    <w:rsid w:val="002A0169"/>
    <w:rsid w:val="002A0F48"/>
    <w:rsid w:val="002A2CD7"/>
    <w:rsid w:val="002A51E4"/>
    <w:rsid w:val="002A5A75"/>
    <w:rsid w:val="002A5DBC"/>
    <w:rsid w:val="002A65D9"/>
    <w:rsid w:val="002B2AAE"/>
    <w:rsid w:val="002C1253"/>
    <w:rsid w:val="002D08D1"/>
    <w:rsid w:val="002D15BB"/>
    <w:rsid w:val="002E1703"/>
    <w:rsid w:val="0030106B"/>
    <w:rsid w:val="00303D8C"/>
    <w:rsid w:val="0030567C"/>
    <w:rsid w:val="00311A58"/>
    <w:rsid w:val="00313BCD"/>
    <w:rsid w:val="00321509"/>
    <w:rsid w:val="003233D3"/>
    <w:rsid w:val="00332B69"/>
    <w:rsid w:val="003336D7"/>
    <w:rsid w:val="0033419E"/>
    <w:rsid w:val="00341B76"/>
    <w:rsid w:val="00341D2E"/>
    <w:rsid w:val="00346900"/>
    <w:rsid w:val="00363E08"/>
    <w:rsid w:val="0036611E"/>
    <w:rsid w:val="00373383"/>
    <w:rsid w:val="0037562E"/>
    <w:rsid w:val="00385BF9"/>
    <w:rsid w:val="00395696"/>
    <w:rsid w:val="00397CCF"/>
    <w:rsid w:val="003A0AAC"/>
    <w:rsid w:val="003A37D8"/>
    <w:rsid w:val="003A5CDE"/>
    <w:rsid w:val="003A6D15"/>
    <w:rsid w:val="003A708B"/>
    <w:rsid w:val="003B067A"/>
    <w:rsid w:val="003B4425"/>
    <w:rsid w:val="003E2DEF"/>
    <w:rsid w:val="00406DEA"/>
    <w:rsid w:val="00426BA3"/>
    <w:rsid w:val="00432A36"/>
    <w:rsid w:val="004357E2"/>
    <w:rsid w:val="00440ACF"/>
    <w:rsid w:val="00477CE5"/>
    <w:rsid w:val="004804E6"/>
    <w:rsid w:val="00480711"/>
    <w:rsid w:val="00486DEB"/>
    <w:rsid w:val="00491A3E"/>
    <w:rsid w:val="00495E6D"/>
    <w:rsid w:val="004A01C4"/>
    <w:rsid w:val="004A4505"/>
    <w:rsid w:val="004A7884"/>
    <w:rsid w:val="004B090D"/>
    <w:rsid w:val="004B4F03"/>
    <w:rsid w:val="004C2305"/>
    <w:rsid w:val="004D5768"/>
    <w:rsid w:val="004E5D20"/>
    <w:rsid w:val="004E6E86"/>
    <w:rsid w:val="004E7557"/>
    <w:rsid w:val="004F1926"/>
    <w:rsid w:val="004F7B84"/>
    <w:rsid w:val="005050A2"/>
    <w:rsid w:val="005258EA"/>
    <w:rsid w:val="00525A72"/>
    <w:rsid w:val="0052734A"/>
    <w:rsid w:val="0052744F"/>
    <w:rsid w:val="00530B6C"/>
    <w:rsid w:val="00532E4E"/>
    <w:rsid w:val="0054053F"/>
    <w:rsid w:val="00545EA5"/>
    <w:rsid w:val="00550D46"/>
    <w:rsid w:val="00557005"/>
    <w:rsid w:val="00560C0C"/>
    <w:rsid w:val="0056787B"/>
    <w:rsid w:val="00572C05"/>
    <w:rsid w:val="00582A71"/>
    <w:rsid w:val="00596DC2"/>
    <w:rsid w:val="005A2704"/>
    <w:rsid w:val="005C22DF"/>
    <w:rsid w:val="005D17E8"/>
    <w:rsid w:val="005D2281"/>
    <w:rsid w:val="005E3BEE"/>
    <w:rsid w:val="00601332"/>
    <w:rsid w:val="00603667"/>
    <w:rsid w:val="00620304"/>
    <w:rsid w:val="00627B0B"/>
    <w:rsid w:val="006426FD"/>
    <w:rsid w:val="00647C24"/>
    <w:rsid w:val="00650317"/>
    <w:rsid w:val="00652295"/>
    <w:rsid w:val="006654F4"/>
    <w:rsid w:val="00670318"/>
    <w:rsid w:val="0068173B"/>
    <w:rsid w:val="00682C78"/>
    <w:rsid w:val="006834D4"/>
    <w:rsid w:val="006838BA"/>
    <w:rsid w:val="00685EE4"/>
    <w:rsid w:val="006864EA"/>
    <w:rsid w:val="006940F8"/>
    <w:rsid w:val="006A6358"/>
    <w:rsid w:val="006B68D2"/>
    <w:rsid w:val="006C1D30"/>
    <w:rsid w:val="006C3692"/>
    <w:rsid w:val="006C6460"/>
    <w:rsid w:val="006D0C46"/>
    <w:rsid w:val="006D24E1"/>
    <w:rsid w:val="006E69AD"/>
    <w:rsid w:val="006F59CE"/>
    <w:rsid w:val="006F7788"/>
    <w:rsid w:val="0070377B"/>
    <w:rsid w:val="00704BDA"/>
    <w:rsid w:val="00713A03"/>
    <w:rsid w:val="00716F55"/>
    <w:rsid w:val="00721EC4"/>
    <w:rsid w:val="0072358F"/>
    <w:rsid w:val="00724798"/>
    <w:rsid w:val="00732866"/>
    <w:rsid w:val="0073541C"/>
    <w:rsid w:val="00742B06"/>
    <w:rsid w:val="00744850"/>
    <w:rsid w:val="00745D19"/>
    <w:rsid w:val="0074770C"/>
    <w:rsid w:val="00747780"/>
    <w:rsid w:val="00754EFB"/>
    <w:rsid w:val="00757933"/>
    <w:rsid w:val="0076516B"/>
    <w:rsid w:val="00775034"/>
    <w:rsid w:val="00775D4A"/>
    <w:rsid w:val="00776C9F"/>
    <w:rsid w:val="0078259D"/>
    <w:rsid w:val="00792D2E"/>
    <w:rsid w:val="00793EC7"/>
    <w:rsid w:val="0079517B"/>
    <w:rsid w:val="007A3274"/>
    <w:rsid w:val="007A3969"/>
    <w:rsid w:val="007B02AC"/>
    <w:rsid w:val="007B39EC"/>
    <w:rsid w:val="007B538D"/>
    <w:rsid w:val="007B6CD5"/>
    <w:rsid w:val="007C1D74"/>
    <w:rsid w:val="007C3FE7"/>
    <w:rsid w:val="007D5A2D"/>
    <w:rsid w:val="007D6D43"/>
    <w:rsid w:val="007D7B4C"/>
    <w:rsid w:val="007E251F"/>
    <w:rsid w:val="007F5B17"/>
    <w:rsid w:val="00806C4C"/>
    <w:rsid w:val="00806ED7"/>
    <w:rsid w:val="00816668"/>
    <w:rsid w:val="0082494B"/>
    <w:rsid w:val="00827280"/>
    <w:rsid w:val="00832BE9"/>
    <w:rsid w:val="0085115F"/>
    <w:rsid w:val="00851568"/>
    <w:rsid w:val="008557C6"/>
    <w:rsid w:val="00863B7A"/>
    <w:rsid w:val="00865B33"/>
    <w:rsid w:val="008773EE"/>
    <w:rsid w:val="00885A35"/>
    <w:rsid w:val="008943C8"/>
    <w:rsid w:val="008B2331"/>
    <w:rsid w:val="008C1369"/>
    <w:rsid w:val="008D0665"/>
    <w:rsid w:val="008D429B"/>
    <w:rsid w:val="008E3E61"/>
    <w:rsid w:val="008E6363"/>
    <w:rsid w:val="008E6A71"/>
    <w:rsid w:val="008E7A37"/>
    <w:rsid w:val="008F234F"/>
    <w:rsid w:val="009174BB"/>
    <w:rsid w:val="0092478F"/>
    <w:rsid w:val="00925FC9"/>
    <w:rsid w:val="009331FD"/>
    <w:rsid w:val="009333AA"/>
    <w:rsid w:val="00934E05"/>
    <w:rsid w:val="00935891"/>
    <w:rsid w:val="00940044"/>
    <w:rsid w:val="0094249D"/>
    <w:rsid w:val="00945FB0"/>
    <w:rsid w:val="00950CDE"/>
    <w:rsid w:val="00960496"/>
    <w:rsid w:val="009613A2"/>
    <w:rsid w:val="00961EA2"/>
    <w:rsid w:val="00971000"/>
    <w:rsid w:val="0097497E"/>
    <w:rsid w:val="00975C5B"/>
    <w:rsid w:val="00976677"/>
    <w:rsid w:val="009818A0"/>
    <w:rsid w:val="009954C9"/>
    <w:rsid w:val="009A2231"/>
    <w:rsid w:val="009A31DA"/>
    <w:rsid w:val="009A74AD"/>
    <w:rsid w:val="009B74D4"/>
    <w:rsid w:val="009C5CD8"/>
    <w:rsid w:val="009D120F"/>
    <w:rsid w:val="009D7338"/>
    <w:rsid w:val="009E042D"/>
    <w:rsid w:val="009E0DFB"/>
    <w:rsid w:val="009F09A1"/>
    <w:rsid w:val="009F0AD2"/>
    <w:rsid w:val="009F62E4"/>
    <w:rsid w:val="00A02722"/>
    <w:rsid w:val="00A27C51"/>
    <w:rsid w:val="00A33158"/>
    <w:rsid w:val="00A3727E"/>
    <w:rsid w:val="00A51941"/>
    <w:rsid w:val="00A618DD"/>
    <w:rsid w:val="00A914B8"/>
    <w:rsid w:val="00AA02A0"/>
    <w:rsid w:val="00AA039E"/>
    <w:rsid w:val="00AA0D27"/>
    <w:rsid w:val="00AA5010"/>
    <w:rsid w:val="00AA66E2"/>
    <w:rsid w:val="00AB69C2"/>
    <w:rsid w:val="00AC64BC"/>
    <w:rsid w:val="00AD23B5"/>
    <w:rsid w:val="00AF462B"/>
    <w:rsid w:val="00AF7C1B"/>
    <w:rsid w:val="00B0192D"/>
    <w:rsid w:val="00B0594F"/>
    <w:rsid w:val="00B17AA9"/>
    <w:rsid w:val="00B26D30"/>
    <w:rsid w:val="00B27A3A"/>
    <w:rsid w:val="00B3348B"/>
    <w:rsid w:val="00B36F31"/>
    <w:rsid w:val="00B3721E"/>
    <w:rsid w:val="00B429F9"/>
    <w:rsid w:val="00B44D3C"/>
    <w:rsid w:val="00B540E1"/>
    <w:rsid w:val="00B615BD"/>
    <w:rsid w:val="00B6319E"/>
    <w:rsid w:val="00B95657"/>
    <w:rsid w:val="00BA39F3"/>
    <w:rsid w:val="00BA5EA9"/>
    <w:rsid w:val="00BB2B98"/>
    <w:rsid w:val="00BC3F97"/>
    <w:rsid w:val="00BD3C3A"/>
    <w:rsid w:val="00BD4CB1"/>
    <w:rsid w:val="00BE1DD2"/>
    <w:rsid w:val="00BE2640"/>
    <w:rsid w:val="00BF0B6A"/>
    <w:rsid w:val="00BF44E3"/>
    <w:rsid w:val="00BF4CE2"/>
    <w:rsid w:val="00BF650C"/>
    <w:rsid w:val="00C071E5"/>
    <w:rsid w:val="00C268F5"/>
    <w:rsid w:val="00C26C4C"/>
    <w:rsid w:val="00C359CA"/>
    <w:rsid w:val="00C552F0"/>
    <w:rsid w:val="00C61367"/>
    <w:rsid w:val="00C61F89"/>
    <w:rsid w:val="00C66936"/>
    <w:rsid w:val="00C82A0C"/>
    <w:rsid w:val="00C847C1"/>
    <w:rsid w:val="00CA61CA"/>
    <w:rsid w:val="00CA6C28"/>
    <w:rsid w:val="00CB65A6"/>
    <w:rsid w:val="00CB78AC"/>
    <w:rsid w:val="00CC1069"/>
    <w:rsid w:val="00CC773F"/>
    <w:rsid w:val="00CD14BA"/>
    <w:rsid w:val="00CE6BB8"/>
    <w:rsid w:val="00CF1935"/>
    <w:rsid w:val="00CF4152"/>
    <w:rsid w:val="00D00608"/>
    <w:rsid w:val="00D074CA"/>
    <w:rsid w:val="00D16306"/>
    <w:rsid w:val="00D40704"/>
    <w:rsid w:val="00D67C46"/>
    <w:rsid w:val="00D80FFC"/>
    <w:rsid w:val="00D85451"/>
    <w:rsid w:val="00D87325"/>
    <w:rsid w:val="00DA7B71"/>
    <w:rsid w:val="00DB0852"/>
    <w:rsid w:val="00DB1DFA"/>
    <w:rsid w:val="00DB3DAB"/>
    <w:rsid w:val="00DC18FC"/>
    <w:rsid w:val="00DD5595"/>
    <w:rsid w:val="00DE3F34"/>
    <w:rsid w:val="00E05C4C"/>
    <w:rsid w:val="00E065DD"/>
    <w:rsid w:val="00E06926"/>
    <w:rsid w:val="00E076D8"/>
    <w:rsid w:val="00E15248"/>
    <w:rsid w:val="00E153F9"/>
    <w:rsid w:val="00E156A1"/>
    <w:rsid w:val="00E1779E"/>
    <w:rsid w:val="00E3729F"/>
    <w:rsid w:val="00E439CC"/>
    <w:rsid w:val="00E45A91"/>
    <w:rsid w:val="00E510C7"/>
    <w:rsid w:val="00E6365E"/>
    <w:rsid w:val="00E664A1"/>
    <w:rsid w:val="00E7103A"/>
    <w:rsid w:val="00E73768"/>
    <w:rsid w:val="00E918BF"/>
    <w:rsid w:val="00EB0721"/>
    <w:rsid w:val="00EB255F"/>
    <w:rsid w:val="00EB58B9"/>
    <w:rsid w:val="00EB5ACD"/>
    <w:rsid w:val="00EB7248"/>
    <w:rsid w:val="00ED2D29"/>
    <w:rsid w:val="00ED30F2"/>
    <w:rsid w:val="00ED65CD"/>
    <w:rsid w:val="00ED7165"/>
    <w:rsid w:val="00F0101A"/>
    <w:rsid w:val="00F04198"/>
    <w:rsid w:val="00F066DB"/>
    <w:rsid w:val="00F06D4D"/>
    <w:rsid w:val="00F216D6"/>
    <w:rsid w:val="00F2235A"/>
    <w:rsid w:val="00F36B28"/>
    <w:rsid w:val="00F54108"/>
    <w:rsid w:val="00F67A51"/>
    <w:rsid w:val="00F70B6F"/>
    <w:rsid w:val="00F80F36"/>
    <w:rsid w:val="00F81E7C"/>
    <w:rsid w:val="00FA7BC0"/>
    <w:rsid w:val="00FB5D64"/>
    <w:rsid w:val="00FB6BEB"/>
    <w:rsid w:val="00FC3B73"/>
    <w:rsid w:val="00FD2F45"/>
    <w:rsid w:val="00FE199A"/>
    <w:rsid w:val="00FE269F"/>
    <w:rsid w:val="00FE2F98"/>
    <w:rsid w:val="00FE6C01"/>
    <w:rsid w:val="012F2443"/>
    <w:rsid w:val="01825488"/>
    <w:rsid w:val="018C0E03"/>
    <w:rsid w:val="01A93FA3"/>
    <w:rsid w:val="01BA61B0"/>
    <w:rsid w:val="01BB516D"/>
    <w:rsid w:val="021B4775"/>
    <w:rsid w:val="02BA0F2C"/>
    <w:rsid w:val="037979A5"/>
    <w:rsid w:val="03CB3F9B"/>
    <w:rsid w:val="03D42F29"/>
    <w:rsid w:val="03D83EDB"/>
    <w:rsid w:val="03E47515"/>
    <w:rsid w:val="03F359AA"/>
    <w:rsid w:val="045521C0"/>
    <w:rsid w:val="049814E0"/>
    <w:rsid w:val="04A15406"/>
    <w:rsid w:val="053B0618"/>
    <w:rsid w:val="05672E13"/>
    <w:rsid w:val="057C19CF"/>
    <w:rsid w:val="05DB7E97"/>
    <w:rsid w:val="06836769"/>
    <w:rsid w:val="06EA0626"/>
    <w:rsid w:val="06ED06D9"/>
    <w:rsid w:val="088A7F5F"/>
    <w:rsid w:val="089A4646"/>
    <w:rsid w:val="08A95854"/>
    <w:rsid w:val="08BD7FAD"/>
    <w:rsid w:val="08CF6958"/>
    <w:rsid w:val="090827CD"/>
    <w:rsid w:val="094C6326"/>
    <w:rsid w:val="09D81E8C"/>
    <w:rsid w:val="0A0F696E"/>
    <w:rsid w:val="0A1102E2"/>
    <w:rsid w:val="0A480B9C"/>
    <w:rsid w:val="0B4524FB"/>
    <w:rsid w:val="0BE5112D"/>
    <w:rsid w:val="0BF57DE5"/>
    <w:rsid w:val="0C031342"/>
    <w:rsid w:val="0C2F4039"/>
    <w:rsid w:val="0C470F50"/>
    <w:rsid w:val="0C5E57C4"/>
    <w:rsid w:val="0C676F35"/>
    <w:rsid w:val="0D305579"/>
    <w:rsid w:val="0D354400"/>
    <w:rsid w:val="0D742563"/>
    <w:rsid w:val="0DDE4FD5"/>
    <w:rsid w:val="0DE10621"/>
    <w:rsid w:val="0E3A4297"/>
    <w:rsid w:val="0E527771"/>
    <w:rsid w:val="0E963B01"/>
    <w:rsid w:val="0EA855E3"/>
    <w:rsid w:val="0EB06D04"/>
    <w:rsid w:val="0EE77A81"/>
    <w:rsid w:val="0F220B1B"/>
    <w:rsid w:val="0F2664F6"/>
    <w:rsid w:val="0F277E39"/>
    <w:rsid w:val="0FE268D2"/>
    <w:rsid w:val="103510F8"/>
    <w:rsid w:val="107365F0"/>
    <w:rsid w:val="107B2A34"/>
    <w:rsid w:val="10FB40F0"/>
    <w:rsid w:val="1109680C"/>
    <w:rsid w:val="11296A34"/>
    <w:rsid w:val="117774DD"/>
    <w:rsid w:val="11A46535"/>
    <w:rsid w:val="11D16BFE"/>
    <w:rsid w:val="12151156"/>
    <w:rsid w:val="12371157"/>
    <w:rsid w:val="128F4AEF"/>
    <w:rsid w:val="1293615E"/>
    <w:rsid w:val="137D5290"/>
    <w:rsid w:val="13983E78"/>
    <w:rsid w:val="143815AA"/>
    <w:rsid w:val="14401B9A"/>
    <w:rsid w:val="14E45A3A"/>
    <w:rsid w:val="14E86739"/>
    <w:rsid w:val="14F00C9E"/>
    <w:rsid w:val="151A4A2D"/>
    <w:rsid w:val="159B7C4F"/>
    <w:rsid w:val="15BD5E17"/>
    <w:rsid w:val="160C46A9"/>
    <w:rsid w:val="165A3666"/>
    <w:rsid w:val="16F05D79"/>
    <w:rsid w:val="174314C9"/>
    <w:rsid w:val="174707F2"/>
    <w:rsid w:val="1773377D"/>
    <w:rsid w:val="18DE360D"/>
    <w:rsid w:val="197762DD"/>
    <w:rsid w:val="19807C1E"/>
    <w:rsid w:val="19AF1F1B"/>
    <w:rsid w:val="19F811CC"/>
    <w:rsid w:val="1A676352"/>
    <w:rsid w:val="1AE856E5"/>
    <w:rsid w:val="1B1B78AF"/>
    <w:rsid w:val="1B776A68"/>
    <w:rsid w:val="1BCB46BE"/>
    <w:rsid w:val="1BD21EF1"/>
    <w:rsid w:val="1C0C42AF"/>
    <w:rsid w:val="1C2370E7"/>
    <w:rsid w:val="1C662D65"/>
    <w:rsid w:val="1C9D605B"/>
    <w:rsid w:val="1CD6156D"/>
    <w:rsid w:val="1D540AD6"/>
    <w:rsid w:val="1DD27F86"/>
    <w:rsid w:val="1F2B35EE"/>
    <w:rsid w:val="20250841"/>
    <w:rsid w:val="212E7BC9"/>
    <w:rsid w:val="21FA7AAB"/>
    <w:rsid w:val="22566075"/>
    <w:rsid w:val="2291000C"/>
    <w:rsid w:val="22E63BAE"/>
    <w:rsid w:val="23737B15"/>
    <w:rsid w:val="244514B2"/>
    <w:rsid w:val="25140F7F"/>
    <w:rsid w:val="25761B3F"/>
    <w:rsid w:val="260E79F5"/>
    <w:rsid w:val="272C6959"/>
    <w:rsid w:val="276460F3"/>
    <w:rsid w:val="27BB03A7"/>
    <w:rsid w:val="27F616E4"/>
    <w:rsid w:val="28EF7C3E"/>
    <w:rsid w:val="29114058"/>
    <w:rsid w:val="29224275"/>
    <w:rsid w:val="29657F00"/>
    <w:rsid w:val="296A1CA7"/>
    <w:rsid w:val="29A808D0"/>
    <w:rsid w:val="29D4444C"/>
    <w:rsid w:val="29D924F1"/>
    <w:rsid w:val="2A1536D4"/>
    <w:rsid w:val="2B256A8F"/>
    <w:rsid w:val="2B3B53BD"/>
    <w:rsid w:val="2BB60EE7"/>
    <w:rsid w:val="2BE32FF5"/>
    <w:rsid w:val="2BEC6A86"/>
    <w:rsid w:val="2C932FD6"/>
    <w:rsid w:val="2D4542D1"/>
    <w:rsid w:val="2DE7410E"/>
    <w:rsid w:val="2E6855F6"/>
    <w:rsid w:val="2EBC4560"/>
    <w:rsid w:val="2F372E8E"/>
    <w:rsid w:val="2F792957"/>
    <w:rsid w:val="2F9C6646"/>
    <w:rsid w:val="306C3613"/>
    <w:rsid w:val="30AB223A"/>
    <w:rsid w:val="30BA4FD6"/>
    <w:rsid w:val="30CA30C1"/>
    <w:rsid w:val="31104BF6"/>
    <w:rsid w:val="31523460"/>
    <w:rsid w:val="31684A32"/>
    <w:rsid w:val="31DB583A"/>
    <w:rsid w:val="32A45F3D"/>
    <w:rsid w:val="33370B5F"/>
    <w:rsid w:val="333C43C8"/>
    <w:rsid w:val="33941B0E"/>
    <w:rsid w:val="34034EE6"/>
    <w:rsid w:val="34140EA1"/>
    <w:rsid w:val="35154ED0"/>
    <w:rsid w:val="353A4937"/>
    <w:rsid w:val="35910C57"/>
    <w:rsid w:val="35D5640E"/>
    <w:rsid w:val="361D67FF"/>
    <w:rsid w:val="36FD6C55"/>
    <w:rsid w:val="37074CED"/>
    <w:rsid w:val="37621F23"/>
    <w:rsid w:val="37BF6F64"/>
    <w:rsid w:val="37D42E21"/>
    <w:rsid w:val="3836588A"/>
    <w:rsid w:val="38606463"/>
    <w:rsid w:val="38B14F10"/>
    <w:rsid w:val="38C74734"/>
    <w:rsid w:val="393C6ED0"/>
    <w:rsid w:val="394F018F"/>
    <w:rsid w:val="39B5458C"/>
    <w:rsid w:val="3A934624"/>
    <w:rsid w:val="3AAF3FCD"/>
    <w:rsid w:val="3ACF72AE"/>
    <w:rsid w:val="3B190B4B"/>
    <w:rsid w:val="3B6E0E96"/>
    <w:rsid w:val="3B844B5E"/>
    <w:rsid w:val="3CB71834"/>
    <w:rsid w:val="3D0A1093"/>
    <w:rsid w:val="3EC05EAD"/>
    <w:rsid w:val="3F367F1D"/>
    <w:rsid w:val="3F5A7A9E"/>
    <w:rsid w:val="3F674CB6"/>
    <w:rsid w:val="3FCC6AD3"/>
    <w:rsid w:val="3FDE64B3"/>
    <w:rsid w:val="408F1FDB"/>
    <w:rsid w:val="41432DC5"/>
    <w:rsid w:val="41E974C9"/>
    <w:rsid w:val="41F30347"/>
    <w:rsid w:val="42162288"/>
    <w:rsid w:val="42AD499A"/>
    <w:rsid w:val="437600FE"/>
    <w:rsid w:val="43A538C3"/>
    <w:rsid w:val="443864E5"/>
    <w:rsid w:val="44CB1108"/>
    <w:rsid w:val="4538077D"/>
    <w:rsid w:val="4556401B"/>
    <w:rsid w:val="45F36B68"/>
    <w:rsid w:val="468C14EB"/>
    <w:rsid w:val="46B53BD4"/>
    <w:rsid w:val="46BF440F"/>
    <w:rsid w:val="46E1485D"/>
    <w:rsid w:val="46E22739"/>
    <w:rsid w:val="46F33CD1"/>
    <w:rsid w:val="47590C4D"/>
    <w:rsid w:val="47A94056"/>
    <w:rsid w:val="480F1C53"/>
    <w:rsid w:val="482E032B"/>
    <w:rsid w:val="485D3817"/>
    <w:rsid w:val="486C0E54"/>
    <w:rsid w:val="487216E8"/>
    <w:rsid w:val="48E63C26"/>
    <w:rsid w:val="492F0B49"/>
    <w:rsid w:val="493C0826"/>
    <w:rsid w:val="4A3414FD"/>
    <w:rsid w:val="4AD14F9E"/>
    <w:rsid w:val="4AD44F71"/>
    <w:rsid w:val="4AE03433"/>
    <w:rsid w:val="4B685203"/>
    <w:rsid w:val="4D0C49B3"/>
    <w:rsid w:val="4D703FFF"/>
    <w:rsid w:val="4D73233C"/>
    <w:rsid w:val="4E6D3574"/>
    <w:rsid w:val="4E7A7D39"/>
    <w:rsid w:val="4E8011B5"/>
    <w:rsid w:val="4EFB2089"/>
    <w:rsid w:val="4F0771E0"/>
    <w:rsid w:val="4F2146B8"/>
    <w:rsid w:val="4F253B0A"/>
    <w:rsid w:val="4F2F3FA1"/>
    <w:rsid w:val="4F624D5E"/>
    <w:rsid w:val="4F674123"/>
    <w:rsid w:val="4FF82FCD"/>
    <w:rsid w:val="50146059"/>
    <w:rsid w:val="50441F68"/>
    <w:rsid w:val="50746AF7"/>
    <w:rsid w:val="51022355"/>
    <w:rsid w:val="51112598"/>
    <w:rsid w:val="51750D79"/>
    <w:rsid w:val="53C05F5A"/>
    <w:rsid w:val="541008E5"/>
    <w:rsid w:val="54216F96"/>
    <w:rsid w:val="5471046A"/>
    <w:rsid w:val="54FC355F"/>
    <w:rsid w:val="55053EE7"/>
    <w:rsid w:val="55597ADB"/>
    <w:rsid w:val="55D02A22"/>
    <w:rsid w:val="56625644"/>
    <w:rsid w:val="56F36D0D"/>
    <w:rsid w:val="570E431B"/>
    <w:rsid w:val="573009E7"/>
    <w:rsid w:val="573174F0"/>
    <w:rsid w:val="57AE6D93"/>
    <w:rsid w:val="57DB161B"/>
    <w:rsid w:val="582B090E"/>
    <w:rsid w:val="584512B8"/>
    <w:rsid w:val="58D345D7"/>
    <w:rsid w:val="59A0095D"/>
    <w:rsid w:val="59B166C6"/>
    <w:rsid w:val="59D23552"/>
    <w:rsid w:val="5A7D47FA"/>
    <w:rsid w:val="5AAE2C06"/>
    <w:rsid w:val="5AB87F28"/>
    <w:rsid w:val="5B750AF9"/>
    <w:rsid w:val="5B9462A0"/>
    <w:rsid w:val="5C2C472A"/>
    <w:rsid w:val="5C6043D4"/>
    <w:rsid w:val="5C841E70"/>
    <w:rsid w:val="5CAB1AF3"/>
    <w:rsid w:val="5CBC3D00"/>
    <w:rsid w:val="5CE60D7D"/>
    <w:rsid w:val="5E1C691D"/>
    <w:rsid w:val="5E5D6E1D"/>
    <w:rsid w:val="5F816B3B"/>
    <w:rsid w:val="5FC52ECB"/>
    <w:rsid w:val="600608C4"/>
    <w:rsid w:val="60067040"/>
    <w:rsid w:val="604D0DD3"/>
    <w:rsid w:val="607945BC"/>
    <w:rsid w:val="60844B35"/>
    <w:rsid w:val="609B3C2C"/>
    <w:rsid w:val="617050B9"/>
    <w:rsid w:val="61D145ED"/>
    <w:rsid w:val="61D20F2B"/>
    <w:rsid w:val="62137B25"/>
    <w:rsid w:val="628C5F22"/>
    <w:rsid w:val="6292739D"/>
    <w:rsid w:val="62946B85"/>
    <w:rsid w:val="62D376AD"/>
    <w:rsid w:val="62E03578"/>
    <w:rsid w:val="63414F5F"/>
    <w:rsid w:val="637160AB"/>
    <w:rsid w:val="63BC6393"/>
    <w:rsid w:val="64882719"/>
    <w:rsid w:val="65BC6B1F"/>
    <w:rsid w:val="65E44D4C"/>
    <w:rsid w:val="65F067C8"/>
    <w:rsid w:val="65F76563"/>
    <w:rsid w:val="66291CDA"/>
    <w:rsid w:val="66552ACF"/>
    <w:rsid w:val="667E5C15"/>
    <w:rsid w:val="668D6ECC"/>
    <w:rsid w:val="66A355E9"/>
    <w:rsid w:val="6739419F"/>
    <w:rsid w:val="675B4B07"/>
    <w:rsid w:val="677376B1"/>
    <w:rsid w:val="679B2764"/>
    <w:rsid w:val="691722BE"/>
    <w:rsid w:val="69BC750D"/>
    <w:rsid w:val="69E7708D"/>
    <w:rsid w:val="6A415844"/>
    <w:rsid w:val="6B3929BF"/>
    <w:rsid w:val="6C57134F"/>
    <w:rsid w:val="6C9F2CF6"/>
    <w:rsid w:val="6D1E00BF"/>
    <w:rsid w:val="6E006A52"/>
    <w:rsid w:val="6E0472B5"/>
    <w:rsid w:val="6EA939B8"/>
    <w:rsid w:val="6EAD16FA"/>
    <w:rsid w:val="6F5F177E"/>
    <w:rsid w:val="6F865AA7"/>
    <w:rsid w:val="6FC211D5"/>
    <w:rsid w:val="6FD97A1B"/>
    <w:rsid w:val="6FE32EFA"/>
    <w:rsid w:val="705D0EFE"/>
    <w:rsid w:val="709E186B"/>
    <w:rsid w:val="70A1703D"/>
    <w:rsid w:val="70AF61D1"/>
    <w:rsid w:val="70BA3C5B"/>
    <w:rsid w:val="70C079E5"/>
    <w:rsid w:val="70CB21E7"/>
    <w:rsid w:val="70FA499F"/>
    <w:rsid w:val="714479C8"/>
    <w:rsid w:val="714D7E5F"/>
    <w:rsid w:val="716F713B"/>
    <w:rsid w:val="71BB412E"/>
    <w:rsid w:val="72DD6326"/>
    <w:rsid w:val="732E23F9"/>
    <w:rsid w:val="73AA445A"/>
    <w:rsid w:val="746D19CA"/>
    <w:rsid w:val="74CF1C9F"/>
    <w:rsid w:val="74D10EC7"/>
    <w:rsid w:val="757E170D"/>
    <w:rsid w:val="75970A0E"/>
    <w:rsid w:val="75DE3F93"/>
    <w:rsid w:val="76236746"/>
    <w:rsid w:val="76317F9B"/>
    <w:rsid w:val="76375D4D"/>
    <w:rsid w:val="76B86E8E"/>
    <w:rsid w:val="76EF1997"/>
    <w:rsid w:val="76FD6F97"/>
    <w:rsid w:val="770D4C48"/>
    <w:rsid w:val="77534E09"/>
    <w:rsid w:val="77F43101"/>
    <w:rsid w:val="78085BF3"/>
    <w:rsid w:val="7856695F"/>
    <w:rsid w:val="79314CD6"/>
    <w:rsid w:val="794C38BE"/>
    <w:rsid w:val="79996046"/>
    <w:rsid w:val="79C67FF1"/>
    <w:rsid w:val="7AEA5A84"/>
    <w:rsid w:val="7B256ABC"/>
    <w:rsid w:val="7B79577B"/>
    <w:rsid w:val="7CE56BFB"/>
    <w:rsid w:val="7CFE1373"/>
    <w:rsid w:val="7D80447E"/>
    <w:rsid w:val="7DB83C18"/>
    <w:rsid w:val="7E0A649D"/>
    <w:rsid w:val="7EF97CE5"/>
    <w:rsid w:val="7F2D4191"/>
    <w:rsid w:val="7F517A47"/>
    <w:rsid w:val="7FA64B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iPriority="99" w:semiHidden="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仿宋_GB2312" w:hAnsi="Times New Roman" w:eastAsia="仿宋_GB2312" w:cs="Times New Roman"/>
      <w:szCs w:val="36"/>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Arial" w:hAnsi="Arial" w:eastAsia="宋体" w:cs="Arial"/>
      <w:sz w:val="24"/>
    </w:r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Body Text Indent"/>
    <w:basedOn w:val="1"/>
    <w:next w:val="1"/>
    <w:unhideWhenUsed/>
    <w:qFormat/>
    <w:uiPriority w:val="99"/>
    <w:pPr>
      <w:spacing w:after="120"/>
      <w:ind w:left="420" w:leftChars="200"/>
    </w:pPr>
  </w:style>
  <w:style w:type="paragraph" w:styleId="5">
    <w:name w:val="Balloon Text"/>
    <w:basedOn w:val="1"/>
    <w:link w:val="16"/>
    <w:unhideWhenUsed/>
    <w:qFormat/>
    <w:uiPriority w:val="99"/>
    <w:rPr>
      <w:sz w:val="18"/>
      <w:szCs w:val="18"/>
      <w:lang w:val="zh-CN" w:eastAsia="zh-CN"/>
    </w:rPr>
  </w:style>
  <w:style w:type="paragraph" w:styleId="6">
    <w:name w:val="footer"/>
    <w:basedOn w:val="1"/>
    <w:link w:val="17"/>
    <w:unhideWhenUsed/>
    <w:qFormat/>
    <w:uiPriority w:val="0"/>
    <w:pPr>
      <w:tabs>
        <w:tab w:val="center" w:pos="4153"/>
        <w:tab w:val="right" w:pos="8306"/>
      </w:tabs>
      <w:snapToGrid w:val="0"/>
    </w:pPr>
    <w:rPr>
      <w:sz w:val="18"/>
      <w:szCs w:val="18"/>
      <w:lang w:val="zh-CN" w:eastAsia="zh-CN"/>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lang w:val="zh-CN" w:eastAsia="zh-CN"/>
    </w:rPr>
  </w:style>
  <w:style w:type="paragraph" w:styleId="8">
    <w:name w:val="index 9"/>
    <w:basedOn w:val="1"/>
    <w:next w:val="1"/>
    <w:unhideWhenUsed/>
    <w:qFormat/>
    <w:uiPriority w:val="99"/>
    <w:pPr>
      <w:spacing w:before="100" w:beforeAutospacing="1" w:after="100" w:afterAutospacing="1"/>
      <w:ind w:left="1600" w:leftChars="1600"/>
    </w:pPr>
  </w:style>
  <w:style w:type="paragraph" w:styleId="9">
    <w:name w:val="Normal (Web)"/>
    <w:basedOn w:val="1"/>
    <w:qFormat/>
    <w:uiPriority w:val="99"/>
    <w:pPr>
      <w:widowControl w:val="0"/>
      <w:spacing w:beforeAutospacing="1" w:afterAutospacing="1" w:line="360" w:lineRule="auto"/>
    </w:pPr>
    <w:rPr>
      <w:rFonts w:ascii="Calibri" w:hAnsi="Calibri" w:eastAsia="宋体"/>
      <w:sz w:val="24"/>
      <w:szCs w:val="24"/>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0"/>
  </w:style>
  <w:style w:type="character" w:styleId="14">
    <w:name w:val="Hyperlink"/>
    <w:basedOn w:val="12"/>
    <w:semiHidden/>
    <w:unhideWhenUsed/>
    <w:qFormat/>
    <w:uiPriority w:val="99"/>
    <w:rPr>
      <w:color w:val="0000FF"/>
      <w:u w:val="single"/>
    </w:rPr>
  </w:style>
  <w:style w:type="character" w:customStyle="1" w:styleId="15">
    <w:name w:val="页眉 字符"/>
    <w:link w:val="7"/>
    <w:qFormat/>
    <w:uiPriority w:val="99"/>
    <w:rPr>
      <w:sz w:val="18"/>
      <w:szCs w:val="18"/>
    </w:rPr>
  </w:style>
  <w:style w:type="character" w:customStyle="1" w:styleId="16">
    <w:name w:val="批注框文本 字符"/>
    <w:link w:val="5"/>
    <w:semiHidden/>
    <w:qFormat/>
    <w:uiPriority w:val="99"/>
    <w:rPr>
      <w:sz w:val="18"/>
      <w:szCs w:val="18"/>
    </w:rPr>
  </w:style>
  <w:style w:type="character" w:customStyle="1" w:styleId="17">
    <w:name w:val="页脚 字符1"/>
    <w:link w:val="6"/>
    <w:qFormat/>
    <w:uiPriority w:val="0"/>
    <w:rPr>
      <w:sz w:val="18"/>
      <w:szCs w:val="18"/>
    </w:rPr>
  </w:style>
  <w:style w:type="paragraph" w:customStyle="1" w:styleId="18">
    <w:name w:val="p0"/>
    <w:basedOn w:val="1"/>
    <w:qFormat/>
    <w:uiPriority w:val="0"/>
    <w:pPr>
      <w:spacing w:before="100" w:beforeAutospacing="1" w:after="100" w:afterAutospacing="1" w:line="432" w:lineRule="atLeast"/>
    </w:pPr>
    <w:rPr>
      <w:rFonts w:ascii="宋体" w:hAnsi="宋体" w:eastAsia="宋体" w:cs="宋体"/>
      <w:sz w:val="24"/>
      <w:szCs w:val="24"/>
    </w:rPr>
  </w:style>
  <w:style w:type="paragraph" w:customStyle="1" w:styleId="19">
    <w:name w:val="普通(网站)1"/>
    <w:basedOn w:val="1"/>
    <w:qFormat/>
    <w:uiPriority w:val="0"/>
    <w:pPr>
      <w:spacing w:before="100" w:beforeAutospacing="1" w:after="100" w:afterAutospacing="1"/>
    </w:pPr>
    <w:rPr>
      <w:rFonts w:ascii="宋体" w:hAnsi="宋体" w:eastAsia="宋体"/>
      <w:sz w:val="24"/>
      <w:szCs w:val="22"/>
    </w:rPr>
  </w:style>
  <w:style w:type="paragraph" w:customStyle="1" w:styleId="20">
    <w:name w:val="列出段落1"/>
    <w:basedOn w:val="1"/>
    <w:qFormat/>
    <w:uiPriority w:val="0"/>
    <w:pPr>
      <w:widowControl w:val="0"/>
      <w:ind w:firstLine="420" w:firstLineChars="200"/>
      <w:jc w:val="both"/>
    </w:pPr>
    <w:rPr>
      <w:rFonts w:ascii="Times New Roman" w:eastAsia="宋体"/>
      <w:kern w:val="2"/>
      <w:sz w:val="21"/>
      <w:szCs w:val="21"/>
    </w:rPr>
  </w:style>
  <w:style w:type="character" w:customStyle="1" w:styleId="21">
    <w:name w:val="页脚 字符"/>
    <w:qFormat/>
    <w:uiPriority w:val="99"/>
    <w:rPr>
      <w:sz w:val="18"/>
      <w:szCs w:val="18"/>
    </w:rPr>
  </w:style>
  <w:style w:type="paragraph" w:customStyle="1" w:styleId="22">
    <w:name w:val="Other|1"/>
    <w:basedOn w:val="1"/>
    <w:qFormat/>
    <w:uiPriority w:val="0"/>
    <w:pPr>
      <w:widowControl w:val="0"/>
      <w:spacing w:line="410" w:lineRule="auto"/>
      <w:ind w:firstLine="400"/>
    </w:pPr>
    <w:rPr>
      <w:rFonts w:ascii="宋体" w:hAnsi="宋体" w:eastAsia="宋体" w:cs="宋体"/>
      <w:color w:val="000000"/>
      <w:sz w:val="30"/>
      <w:szCs w:val="30"/>
      <w:lang w:val="zh-TW" w:eastAsia="zh-TW" w:bidi="zh-TW"/>
    </w:rPr>
  </w:style>
  <w:style w:type="paragraph" w:customStyle="1" w:styleId="23">
    <w:name w:val="Body text|1"/>
    <w:basedOn w:val="1"/>
    <w:qFormat/>
    <w:uiPriority w:val="0"/>
    <w:pPr>
      <w:widowControl w:val="0"/>
      <w:spacing w:line="410" w:lineRule="auto"/>
      <w:ind w:firstLine="400"/>
    </w:pPr>
    <w:rPr>
      <w:rFonts w:ascii="宋体" w:hAnsi="宋体" w:eastAsia="宋体" w:cs="宋体"/>
      <w:color w:val="000000"/>
      <w:sz w:val="30"/>
      <w:szCs w:val="30"/>
      <w:lang w:val="zh-TW" w:eastAsia="zh-TW" w:bidi="zh-TW"/>
    </w:rPr>
  </w:style>
  <w:style w:type="paragraph" w:styleId="24">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styleId="25">
    <w:name w:val="List Paragraph"/>
    <w:basedOn w:val="1"/>
    <w:autoRedefine/>
    <w:qFormat/>
    <w:uiPriority w:val="34"/>
    <w:pPr>
      <w:ind w:firstLine="420" w:firstLineChars="200"/>
    </w:pPr>
  </w:style>
  <w:style w:type="paragraph" w:customStyle="1" w:styleId="26">
    <w:name w:val="null5"/>
    <w:hidden/>
    <w:qFormat/>
    <w:uiPriority w:val="0"/>
    <w:rPr>
      <w:rFonts w:hint="eastAsia" w:asciiTheme="minorHAnsi" w:hAnsiTheme="minorHAnsi" w:eastAsiaTheme="minorEastAsia" w:cstheme="minorBidi"/>
      <w:lang w:val="en-US" w:eastAsia="zh-CN"/>
    </w:rPr>
  </w:style>
  <w:style w:type="paragraph" w:customStyle="1" w:styleId="27">
    <w:name w:val="Table Text"/>
    <w:basedOn w:val="1"/>
    <w:semiHidden/>
    <w:qFormat/>
    <w:uiPriority w:val="0"/>
    <w:rPr>
      <w:rFonts w:ascii="黑体" w:hAnsi="黑体" w:eastAsia="黑体" w:cs="黑体"/>
      <w:sz w:val="18"/>
      <w:szCs w:val="18"/>
      <w:lang w:val="en-US" w:eastAsia="en-US" w:bidi="ar-SA"/>
    </w:rPr>
  </w:style>
  <w:style w:type="table" w:customStyle="1" w:styleId="28">
    <w:name w:val="Table Normal"/>
    <w:semiHidden/>
    <w:unhideWhenUsed/>
    <w:qFormat/>
    <w:uiPriority w:val="0"/>
    <w:tblPr>
      <w:tblCellMar>
        <w:top w:w="0" w:type="dxa"/>
        <w:left w:w="0" w:type="dxa"/>
        <w:bottom w:w="0" w:type="dxa"/>
        <w:right w:w="0" w:type="dxa"/>
      </w:tblCellMar>
    </w:tblPr>
  </w:style>
  <w:style w:type="character" w:customStyle="1" w:styleId="29">
    <w:name w:val="font11"/>
    <w:basedOn w:val="12"/>
    <w:qFormat/>
    <w:uiPriority w:val="0"/>
    <w:rPr>
      <w:rFonts w:hint="eastAsia" w:ascii="宋体" w:hAnsi="宋体" w:eastAsia="宋体" w:cs="宋体"/>
      <w:color w:val="000000"/>
      <w:sz w:val="24"/>
      <w:szCs w:val="24"/>
      <w:u w:val="none"/>
    </w:rPr>
  </w:style>
  <w:style w:type="character" w:customStyle="1" w:styleId="30">
    <w:name w:val="font4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6A4480-D02E-4F5C-BB25-7D4A8B5C26DE}">
  <ds:schemaRefs/>
</ds:datastoreItem>
</file>

<file path=docProps/app.xml><?xml version="1.0" encoding="utf-8"?>
<Properties xmlns="http://schemas.openxmlformats.org/officeDocument/2006/extended-properties" xmlns:vt="http://schemas.openxmlformats.org/officeDocument/2006/docPropsVTypes">
  <Template>Normal</Template>
  <Company>sdnu</Company>
  <Pages>15</Pages>
  <Words>2631</Words>
  <Characters>2970</Characters>
  <Lines>5</Lines>
  <Paragraphs>1</Paragraphs>
  <TotalTime>0</TotalTime>
  <ScaleCrop>false</ScaleCrop>
  <LinksUpToDate>false</LinksUpToDate>
  <CharactersWithSpaces>3010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2022-03-09T09:39:00Z</dcterms:created>
  <dc:creator>wangsong</dc:creator>
  <cp:lastModifiedBy>新新向荣</cp:lastModifiedBy>
  <cp:lastPrinted>2019-06-19T06:00:00Z</cp:lastPrinted>
  <dcterms:modified xsi:type="dcterms:W3CDTF">2026-10-13T14:35:47Z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30FECC3F41F941099613E4CA6CFBC41E_13</vt:lpwstr>
  </property>
  <property fmtid="{D5CDD505-2E9C-101B-9397-08002B2CF9AE}" pid="4" name="KSOTemplateDocerSaveRecord">
    <vt:lpwstr>eyJoZGlkIjoiNDczMDI1NThiMzkxMzBmY2YwOWMzOGYxM2ZhODNmNjQiLCJ1c2VySWQiOiI5MDk3ODE1NTEifQ==</vt:lpwstr>
  </property>
</Properties>
</file>