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0DC7B">
      <w:pPr>
        <w:widowControl w:val="0"/>
        <w:overflowPunct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pacing w:val="20"/>
          <w:sz w:val="40"/>
          <w:szCs w:val="40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20"/>
          <w:sz w:val="40"/>
          <w:szCs w:val="40"/>
          <w:highlight w:val="none"/>
        </w:rPr>
        <w:t>山东师范大学招标采购项目需求公示表</w:t>
      </w:r>
    </w:p>
    <w:p w14:paraId="1B47094B">
      <w:pPr>
        <w:rPr>
          <w:rFonts w:hint="default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编号: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  <w:t xml:space="preserve"> SDSL-2026-219</w:t>
      </w:r>
    </w:p>
    <w:tbl>
      <w:tblPr>
        <w:tblStyle w:val="10"/>
        <w:tblW w:w="13812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72"/>
        <w:gridCol w:w="2964"/>
        <w:gridCol w:w="1072"/>
        <w:gridCol w:w="1677"/>
        <w:gridCol w:w="1950"/>
        <w:gridCol w:w="2387"/>
        <w:gridCol w:w="2790"/>
      </w:tblGrid>
      <w:tr w14:paraId="13C90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3812" w:type="dxa"/>
            <w:gridSpan w:val="7"/>
            <w:shd w:val="clear" w:color="auto" w:fill="FFFFFF"/>
            <w:vAlign w:val="center"/>
          </w:tcPr>
          <w:p w14:paraId="0F3C34FA">
            <w:pPr>
              <w:pStyle w:val="2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基本情况</w:t>
            </w:r>
          </w:p>
        </w:tc>
      </w:tr>
      <w:tr w14:paraId="73713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936" w:type="dxa"/>
            <w:gridSpan w:val="2"/>
            <w:shd w:val="clear" w:color="auto" w:fill="FFFFFF"/>
            <w:vAlign w:val="center"/>
          </w:tcPr>
          <w:p w14:paraId="230B2D39">
            <w:pPr>
              <w:pStyle w:val="2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9876" w:type="dxa"/>
            <w:gridSpan w:val="5"/>
            <w:shd w:val="clear" w:color="auto" w:fill="FFFFFF"/>
            <w:vAlign w:val="center"/>
          </w:tcPr>
          <w:p w14:paraId="7ED2AE2F">
            <w:pPr>
              <w:pStyle w:val="23"/>
              <w:overflowPunct w:val="0"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highlight w:val="none"/>
                <w:lang w:eastAsia="zh-CN"/>
              </w:rPr>
              <w:t>山东师范大学2026年信息办数据科研平台采购项目</w:t>
            </w:r>
          </w:p>
        </w:tc>
      </w:tr>
      <w:tr w14:paraId="2BA13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936" w:type="dxa"/>
            <w:gridSpan w:val="2"/>
            <w:shd w:val="clear" w:color="auto" w:fill="FFFFFF"/>
            <w:vAlign w:val="center"/>
          </w:tcPr>
          <w:p w14:paraId="584CF049">
            <w:pPr>
              <w:pStyle w:val="2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项目主管单位</w:t>
            </w:r>
          </w:p>
        </w:tc>
        <w:tc>
          <w:tcPr>
            <w:tcW w:w="9876" w:type="dxa"/>
            <w:gridSpan w:val="5"/>
            <w:shd w:val="clear" w:color="auto" w:fill="FFFFFF"/>
            <w:vAlign w:val="center"/>
          </w:tcPr>
          <w:p w14:paraId="1AAAF5B7">
            <w:pPr>
              <w:pStyle w:val="23"/>
              <w:overflowPunct w:val="0"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信息化工作办公室</w:t>
            </w:r>
          </w:p>
        </w:tc>
      </w:tr>
      <w:tr w14:paraId="2F318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936" w:type="dxa"/>
            <w:gridSpan w:val="2"/>
            <w:shd w:val="clear" w:color="auto" w:fill="FFFFFF"/>
            <w:vAlign w:val="center"/>
          </w:tcPr>
          <w:p w14:paraId="627F65E3">
            <w:pPr>
              <w:pStyle w:val="2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第三方咨询服务单位</w:t>
            </w:r>
          </w:p>
        </w:tc>
        <w:tc>
          <w:tcPr>
            <w:tcW w:w="9876" w:type="dxa"/>
            <w:gridSpan w:val="5"/>
            <w:shd w:val="clear" w:color="auto" w:fill="FFFFFF"/>
            <w:vAlign w:val="center"/>
          </w:tcPr>
          <w:p w14:paraId="4C7492D3">
            <w:pPr>
              <w:pStyle w:val="23"/>
              <w:overflowPunct w:val="0"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bCs/>
                <w:color w:val="auto"/>
                <w:sz w:val="24"/>
                <w:highlight w:val="none"/>
              </w:rPr>
              <w:t>山东善立招标有限公司</w:t>
            </w:r>
          </w:p>
        </w:tc>
      </w:tr>
      <w:tr w14:paraId="44B5B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3812" w:type="dxa"/>
            <w:gridSpan w:val="7"/>
            <w:shd w:val="clear" w:color="auto" w:fill="FFFFFF"/>
            <w:vAlign w:val="center"/>
          </w:tcPr>
          <w:p w14:paraId="1B4517FB">
            <w:pPr>
              <w:pStyle w:val="2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bidi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项目信息</w:t>
            </w:r>
          </w:p>
        </w:tc>
      </w:tr>
      <w:tr w14:paraId="787B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972" w:type="dxa"/>
            <w:shd w:val="clear" w:color="auto" w:fill="FFFFFF"/>
            <w:vAlign w:val="center"/>
          </w:tcPr>
          <w:p w14:paraId="096D39B9"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包号</w:t>
            </w:r>
          </w:p>
        </w:tc>
        <w:tc>
          <w:tcPr>
            <w:tcW w:w="2964" w:type="dxa"/>
            <w:shd w:val="clear" w:color="auto" w:fill="FFFFFF"/>
            <w:vAlign w:val="center"/>
          </w:tcPr>
          <w:p w14:paraId="3E4C30D2"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标的名称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0BF9AE20"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677" w:type="dxa"/>
            <w:shd w:val="clear" w:color="auto" w:fill="FFFFFF"/>
            <w:vAlign w:val="center"/>
          </w:tcPr>
          <w:p w14:paraId="0499C032"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是否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允许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进口</w:t>
            </w:r>
          </w:p>
        </w:tc>
        <w:tc>
          <w:tcPr>
            <w:tcW w:w="1950" w:type="dxa"/>
            <w:shd w:val="clear" w:color="auto" w:fill="FFFFFF"/>
            <w:vAlign w:val="center"/>
          </w:tcPr>
          <w:p w14:paraId="4E53281B"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是否创新产品</w:t>
            </w:r>
          </w:p>
        </w:tc>
        <w:tc>
          <w:tcPr>
            <w:tcW w:w="2387" w:type="dxa"/>
            <w:shd w:val="clear" w:color="auto" w:fill="FFFFFF"/>
            <w:vAlign w:val="center"/>
          </w:tcPr>
          <w:p w14:paraId="6736731E"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是否专门面向中小微或预留份额</w:t>
            </w:r>
          </w:p>
        </w:tc>
        <w:tc>
          <w:tcPr>
            <w:tcW w:w="2790" w:type="dxa"/>
            <w:shd w:val="clear" w:color="auto" w:fill="FFFFFF"/>
            <w:vAlign w:val="center"/>
          </w:tcPr>
          <w:p w14:paraId="0D72643B"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预算金额（最高限价）</w:t>
            </w:r>
          </w:p>
        </w:tc>
      </w:tr>
      <w:tr w14:paraId="10227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972" w:type="dxa"/>
            <w:vMerge w:val="restart"/>
            <w:shd w:val="clear" w:color="auto" w:fill="FFFFFF"/>
            <w:vAlign w:val="center"/>
          </w:tcPr>
          <w:p w14:paraId="4E0DA6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964" w:type="dxa"/>
            <w:shd w:val="clear" w:color="auto" w:fill="FFFFFF"/>
            <w:vAlign w:val="center"/>
          </w:tcPr>
          <w:p w14:paraId="4C003AFE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大模型计算平台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031A16C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677" w:type="dxa"/>
            <w:shd w:val="clear" w:color="auto" w:fill="FFFFFF"/>
            <w:vAlign w:val="center"/>
          </w:tcPr>
          <w:p w14:paraId="39D7EC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1950" w:type="dxa"/>
            <w:shd w:val="clear" w:color="auto" w:fill="FFFFFF"/>
            <w:vAlign w:val="center"/>
          </w:tcPr>
          <w:p w14:paraId="3B7F79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387" w:type="dxa"/>
            <w:shd w:val="clear" w:color="auto" w:fill="FFFFFF"/>
            <w:vAlign w:val="center"/>
          </w:tcPr>
          <w:p w14:paraId="135BD3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790" w:type="dxa"/>
            <w:vMerge w:val="restart"/>
            <w:shd w:val="clear" w:color="auto" w:fill="FFFFFF"/>
            <w:vAlign w:val="center"/>
          </w:tcPr>
          <w:p w14:paraId="49CEDC2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382.48</w:t>
            </w:r>
          </w:p>
        </w:tc>
      </w:tr>
      <w:tr w14:paraId="53922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972" w:type="dxa"/>
            <w:vMerge w:val="continue"/>
            <w:shd w:val="clear" w:color="auto" w:fill="FFFFFF"/>
            <w:vAlign w:val="center"/>
          </w:tcPr>
          <w:p w14:paraId="65521E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964" w:type="dxa"/>
            <w:shd w:val="clear" w:color="auto" w:fill="FFFFFF"/>
            <w:vAlign w:val="center"/>
          </w:tcPr>
          <w:p w14:paraId="3FCCDB00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串行计算集群平台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2CDDAD16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677" w:type="dxa"/>
            <w:shd w:val="clear" w:color="auto" w:fill="FFFFFF"/>
            <w:vAlign w:val="center"/>
          </w:tcPr>
          <w:p w14:paraId="07F541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1950" w:type="dxa"/>
            <w:shd w:val="clear" w:color="auto" w:fill="FFFFFF"/>
            <w:vAlign w:val="center"/>
          </w:tcPr>
          <w:p w14:paraId="53BA6A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387" w:type="dxa"/>
            <w:shd w:val="clear" w:color="auto" w:fill="FFFFFF"/>
            <w:vAlign w:val="center"/>
          </w:tcPr>
          <w:p w14:paraId="16A2A1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790" w:type="dxa"/>
            <w:vMerge w:val="continue"/>
            <w:shd w:val="clear" w:color="auto" w:fill="FFFFFF"/>
            <w:vAlign w:val="center"/>
          </w:tcPr>
          <w:p w14:paraId="01E848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259AA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972" w:type="dxa"/>
            <w:vMerge w:val="continue"/>
            <w:shd w:val="clear" w:color="auto" w:fill="FFFFFF"/>
            <w:vAlign w:val="center"/>
          </w:tcPr>
          <w:p w14:paraId="100052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964" w:type="dxa"/>
            <w:shd w:val="clear" w:color="auto" w:fill="FFFFFF"/>
            <w:vAlign w:val="center"/>
          </w:tcPr>
          <w:p w14:paraId="27C3D771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深度学习训练推理平台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6EBD175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677" w:type="dxa"/>
            <w:shd w:val="clear" w:color="auto" w:fill="FFFFFF"/>
            <w:vAlign w:val="center"/>
          </w:tcPr>
          <w:p w14:paraId="2D8BDF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1950" w:type="dxa"/>
            <w:shd w:val="clear" w:color="auto" w:fill="FFFFFF"/>
            <w:vAlign w:val="center"/>
          </w:tcPr>
          <w:p w14:paraId="303C34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387" w:type="dxa"/>
            <w:shd w:val="clear" w:color="auto" w:fill="FFFFFF"/>
            <w:vAlign w:val="center"/>
          </w:tcPr>
          <w:p w14:paraId="186E8F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790" w:type="dxa"/>
            <w:vMerge w:val="continue"/>
            <w:shd w:val="clear" w:color="auto" w:fill="FFFFFF"/>
            <w:vAlign w:val="center"/>
          </w:tcPr>
          <w:p w14:paraId="7458FA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2538C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972" w:type="dxa"/>
            <w:vMerge w:val="continue"/>
            <w:shd w:val="clear" w:color="auto" w:fill="FFFFFF"/>
            <w:vAlign w:val="center"/>
          </w:tcPr>
          <w:p w14:paraId="18CDA7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964" w:type="dxa"/>
            <w:shd w:val="clear" w:color="auto" w:fill="FFFFFF"/>
            <w:vAlign w:val="center"/>
          </w:tcPr>
          <w:p w14:paraId="4F999D0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ROCE交换机</w:t>
            </w:r>
          </w:p>
        </w:tc>
        <w:tc>
          <w:tcPr>
            <w:tcW w:w="1072" w:type="dxa"/>
            <w:shd w:val="clear" w:color="auto" w:fill="FFFFFF"/>
            <w:vAlign w:val="center"/>
          </w:tcPr>
          <w:p w14:paraId="77355ACA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677" w:type="dxa"/>
            <w:shd w:val="clear" w:color="auto" w:fill="FFFFFF"/>
            <w:vAlign w:val="center"/>
          </w:tcPr>
          <w:p w14:paraId="29494B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1950" w:type="dxa"/>
            <w:shd w:val="clear" w:color="auto" w:fill="FFFFFF"/>
            <w:vAlign w:val="center"/>
          </w:tcPr>
          <w:p w14:paraId="45DB31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387" w:type="dxa"/>
            <w:shd w:val="clear" w:color="auto" w:fill="FFFFFF"/>
            <w:vAlign w:val="center"/>
          </w:tcPr>
          <w:p w14:paraId="19317A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790" w:type="dxa"/>
            <w:vMerge w:val="continue"/>
            <w:shd w:val="clear" w:color="auto" w:fill="FFFFFF"/>
            <w:vAlign w:val="center"/>
          </w:tcPr>
          <w:p w14:paraId="467EAB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095F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3812" w:type="dxa"/>
            <w:gridSpan w:val="7"/>
            <w:shd w:val="clear" w:color="auto" w:fill="FFFFFF"/>
            <w:vAlign w:val="center"/>
          </w:tcPr>
          <w:p w14:paraId="2F1E1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zh-TW" w:eastAsia="zh-TW" w:bidi="zh-TW"/>
              </w:rPr>
              <w:t>需求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zh-TW" w:bidi="zh-TW"/>
              </w:rPr>
              <w:t>描述</w:t>
            </w:r>
          </w:p>
        </w:tc>
      </w:tr>
      <w:tr w14:paraId="2CDFE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936" w:type="dxa"/>
            <w:gridSpan w:val="2"/>
            <w:shd w:val="clear" w:color="auto" w:fill="FFFFFF"/>
            <w:vAlign w:val="center"/>
          </w:tcPr>
          <w:p w14:paraId="04AA0036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技术要求</w:t>
            </w:r>
          </w:p>
        </w:tc>
        <w:tc>
          <w:tcPr>
            <w:tcW w:w="9876" w:type="dxa"/>
            <w:gridSpan w:val="5"/>
            <w:shd w:val="clear" w:color="auto" w:fill="FFFFFF"/>
            <w:vAlign w:val="center"/>
          </w:tcPr>
          <w:p w14:paraId="08D6D5E3">
            <w:pPr>
              <w:pStyle w:val="4"/>
              <w:spacing w:line="360" w:lineRule="auto"/>
              <w:ind w:left="0" w:leftChars="0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 w:eastAsia="zh-CN" w:bidi="ar-SA"/>
              </w:rPr>
              <w:t>一、项目概况</w:t>
            </w:r>
          </w:p>
          <w:p w14:paraId="679F3EFE">
            <w:pPr>
              <w:spacing w:line="360" w:lineRule="auto"/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zh-CN"/>
              </w:rPr>
              <w:t>本项目为山东师范大学2026年信息办数据科研平台采购项目，</w:t>
            </w:r>
            <w:r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zh-CN"/>
              </w:rPr>
              <w:t>预算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382.48万元</w:t>
            </w:r>
            <w:r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zh-CN"/>
              </w:rPr>
              <w:t>。</w:t>
            </w:r>
          </w:p>
          <w:p w14:paraId="60EE4AF9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  <w:t>二、技术要求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 xml:space="preserve"> </w:t>
            </w:r>
          </w:p>
          <w:p w14:paraId="30BF1045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详见附件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详细技术要求。</w:t>
            </w:r>
          </w:p>
        </w:tc>
      </w:tr>
      <w:tr w14:paraId="79D88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936" w:type="dxa"/>
            <w:gridSpan w:val="2"/>
            <w:shd w:val="clear" w:color="auto" w:fill="FFFFFF"/>
            <w:vAlign w:val="center"/>
          </w:tcPr>
          <w:p w14:paraId="25313CC1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商务要求</w:t>
            </w:r>
          </w:p>
        </w:tc>
        <w:tc>
          <w:tcPr>
            <w:tcW w:w="9876" w:type="dxa"/>
            <w:gridSpan w:val="5"/>
            <w:shd w:val="clear" w:color="auto" w:fill="FFFFFF"/>
            <w:vAlign w:val="center"/>
          </w:tcPr>
          <w:p w14:paraId="0745BF33">
            <w:pPr>
              <w:numPr>
                <w:ilvl w:val="0"/>
                <w:numId w:val="1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交货期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6357E30A">
            <w:pPr>
              <w:pStyle w:val="26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自合同签订之日起1个月内供货安装调试完毕。</w:t>
            </w:r>
          </w:p>
          <w:p w14:paraId="660A259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交付地点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790C834C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设备全部到达山东师范大学校内指定地点。</w:t>
            </w:r>
          </w:p>
          <w:p w14:paraId="70160167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3、付款条件：</w:t>
            </w:r>
          </w:p>
          <w:p w14:paraId="54954F8E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中标人供货并安装调试完成，使用单位初步验收合格后支付合同价款的60%；经招标人验收合格后，招标人支付至合同价款的100%。</w:t>
            </w:r>
          </w:p>
          <w:p w14:paraId="2AA95083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4、验收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3C827D45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根据《山东省财政厅关于进一步加强政府采购履约验收工作的指导意见》及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要求进行验收。</w:t>
            </w:r>
          </w:p>
          <w:p w14:paraId="750C8513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4.1货物运抵现场后，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将对货物数量、质量、规格等进行检验。如发现货物和规格或者两者都与招标文件、投标文件、合同不符，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有权限根据检验结果要求中标人立即更换或者提出索赔要求。</w:t>
            </w:r>
          </w:p>
          <w:p w14:paraId="7C5A0EE7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4.2货物由中标人进行安装，完毕后，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应对货物的数量、质量、规格、性能等进行详细而全面的检验。安装完毕7日后，证明货物以及安装质量无任何问题，由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组成的验收小组签署验收报告，作为付款凭据之一。</w:t>
            </w:r>
          </w:p>
          <w:p w14:paraId="2FC812B4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5、质量保证期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1D0264D7">
            <w:pPr>
              <w:spacing w:line="360" w:lineRule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5.1质保期：国产设备原厂质保3年（清单技术规格要求中有要求的按照清单要求执行）。国家主管部门或者行业标准对货物本身有更高要求的，从其规定并在合同中约定，投标人亦可提报更长的质保期，质保及售后须注明质保主体（原厂或投标人）。</w:t>
            </w:r>
          </w:p>
          <w:p w14:paraId="7FE34C64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5.2质量保证期内，如果证实货物是有缺陷的，包括潜在的缺陷或者使用不符合要求的材料等，中标人应立即免费维修或者更换有缺陷的货物或者部件，保证达到合同规定的技术以及性能要求。如果中标人在收到通知后5天内没有弥补缺陷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可自行采取必要的补救措施，但风险和费用由中标人承担，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同时保留通过法律途径进行索赔的权利。</w:t>
            </w:r>
          </w:p>
          <w:p w14:paraId="4DF692AF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6、售后服务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30BC035C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6.1投标人应提供及时周到的售后服务，应保证每季度至少一次上门回访、检修。</w:t>
            </w:r>
          </w:p>
          <w:p w14:paraId="7715540D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6.2投标人自报响应、维修时间以及备品备件情况。</w:t>
            </w:r>
          </w:p>
          <w:p w14:paraId="691908B4">
            <w:pPr>
              <w:pStyle w:val="25"/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7、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培训</w:t>
            </w:r>
          </w:p>
          <w:p w14:paraId="088C9783">
            <w:pPr>
              <w:pStyle w:val="26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投标人提供技术培训，包括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使用维护、工作原理、基本操作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常见故障处理等。</w:t>
            </w:r>
          </w:p>
        </w:tc>
      </w:tr>
      <w:tr w14:paraId="59BA6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936" w:type="dxa"/>
            <w:gridSpan w:val="2"/>
            <w:shd w:val="clear" w:color="auto" w:fill="FFFFFF"/>
            <w:vAlign w:val="center"/>
          </w:tcPr>
          <w:p w14:paraId="03D708EC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政策要求</w:t>
            </w:r>
          </w:p>
        </w:tc>
        <w:tc>
          <w:tcPr>
            <w:tcW w:w="9876" w:type="dxa"/>
            <w:gridSpan w:val="5"/>
            <w:shd w:val="clear" w:color="auto" w:fill="FFFFFF"/>
            <w:vAlign w:val="center"/>
          </w:tcPr>
          <w:p w14:paraId="6B7DF204">
            <w:pPr>
              <w:pStyle w:val="4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严格落实财政部、工业和信息化部《政府采购促进中小企业发展管理办法》（财库〔2020〕46号）、《财政部 司法部关于政府采购支持监狱企业发展有关问题的通知》（财库〔2014〕68号）、《关于促进残疾人就业政府采购政策的通知》（财库[2017]141号）、</w:t>
            </w:r>
            <w:r>
              <w:rPr>
                <w:rFonts w:hint="eastAsia" w:ascii="宋体" w:hAnsi="宋体" w:eastAsia="宋体" w:cs="宋体"/>
                <w:iCs/>
                <w:color w:val="auto"/>
                <w:sz w:val="24"/>
                <w:highlight w:val="none"/>
                <w:u w:val="none"/>
                <w:lang w:val="zh-CN" w:eastAsia="zh-CN"/>
              </w:rPr>
              <w:t>《关于进一步发挥政府采购政策功能支持中小企业发展的通知》、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《关于进一步发挥政府采购政策功能支持中小企业发展的通知》、《关于调整优化节能产品、环境标志产品政府采购执行机制的通知》、《关于印发节能产品政府采购品目清单的通知》、《关于印发环境标志产品政府采购品目清单的通知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本国产品政策、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采购绿色建材、推广节能建筑等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国家最新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政府采购政策。</w:t>
            </w:r>
          </w:p>
        </w:tc>
      </w:tr>
      <w:tr w14:paraId="53A36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936" w:type="dxa"/>
            <w:gridSpan w:val="2"/>
            <w:shd w:val="clear" w:color="auto" w:fill="FFFFFF"/>
            <w:vAlign w:val="center"/>
          </w:tcPr>
          <w:p w14:paraId="5F9C60EB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绩效目标</w:t>
            </w:r>
          </w:p>
        </w:tc>
        <w:tc>
          <w:tcPr>
            <w:tcW w:w="9876" w:type="dxa"/>
            <w:gridSpan w:val="5"/>
            <w:shd w:val="clear" w:color="auto" w:fill="FFFFFF"/>
            <w:vAlign w:val="center"/>
          </w:tcPr>
          <w:p w14:paraId="3718F608">
            <w:pPr>
              <w:pStyle w:val="4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服务学校人工智能算力需求。</w:t>
            </w:r>
          </w:p>
        </w:tc>
      </w:tr>
      <w:tr w14:paraId="48A95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936" w:type="dxa"/>
            <w:gridSpan w:val="2"/>
            <w:shd w:val="clear" w:color="auto" w:fill="FFFFFF"/>
            <w:vAlign w:val="center"/>
          </w:tcPr>
          <w:p w14:paraId="3E237FFE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其他要求</w:t>
            </w:r>
          </w:p>
        </w:tc>
        <w:tc>
          <w:tcPr>
            <w:tcW w:w="9876" w:type="dxa"/>
            <w:gridSpan w:val="5"/>
            <w:shd w:val="clear" w:color="auto" w:fill="FFFFFF"/>
            <w:vAlign w:val="center"/>
          </w:tcPr>
          <w:p w14:paraId="4CCD916C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投标人资格要求：</w:t>
            </w:r>
          </w:p>
          <w:p w14:paraId="7528C446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满足《中华人民共和国政府采购法》第二十二条规定;</w:t>
            </w:r>
          </w:p>
          <w:p w14:paraId="59EB03A1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2、落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实政府采购政策需满足的资格要求：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无</w:t>
            </w:r>
          </w:p>
          <w:p w14:paraId="74026F4A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本项目的特定资格要求：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在“信用中国”（www.creditchina.gov.cn）、中国政府采购网（www.ccgp.gov.cn）、“信用山东”（credit.shandong.gov.cn）等网站中被列入失信被执行人、重大税收违法失信主体、政府采购严重违法失信行为记录名单的投标人，不得参加本次政府采购活动；</w:t>
            </w:r>
          </w:p>
          <w:p w14:paraId="42DAC639">
            <w:pPr>
              <w:spacing w:line="360" w:lineRule="auto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）单位负责人为同一人或者存在直接控股、管理关系的不同投标人，不得参加同一合同项下（同一包号）的政府采购活动；</w:t>
            </w:r>
          </w:p>
        </w:tc>
      </w:tr>
    </w:tbl>
    <w:p w14:paraId="1A23DFFD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5A93EDB3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15523B58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29D01F76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7F3A4750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4A2712CE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5D8D14F0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69DC45EC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38ADD40D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附件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详细技术要求</w:t>
      </w:r>
    </w:p>
    <w:tbl>
      <w:tblPr>
        <w:tblStyle w:val="10"/>
        <w:tblW w:w="508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856"/>
        <w:gridCol w:w="759"/>
        <w:gridCol w:w="675"/>
        <w:gridCol w:w="703"/>
        <w:gridCol w:w="10232"/>
      </w:tblGrid>
      <w:tr w14:paraId="47DFD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40" w:type="pct"/>
            <w:vAlign w:val="center"/>
          </w:tcPr>
          <w:p w14:paraId="5B9D0999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308" w:type="pct"/>
            <w:vAlign w:val="center"/>
          </w:tcPr>
          <w:p w14:paraId="7450910D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采购标的名称</w:t>
            </w:r>
          </w:p>
        </w:tc>
        <w:tc>
          <w:tcPr>
            <w:tcW w:w="273" w:type="pct"/>
            <w:vAlign w:val="center"/>
          </w:tcPr>
          <w:p w14:paraId="7160957E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计量单位</w:t>
            </w:r>
          </w:p>
        </w:tc>
        <w:tc>
          <w:tcPr>
            <w:tcW w:w="243" w:type="pct"/>
            <w:vAlign w:val="center"/>
          </w:tcPr>
          <w:p w14:paraId="711C07C2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253" w:type="pct"/>
            <w:vAlign w:val="center"/>
          </w:tcPr>
          <w:p w14:paraId="3D146FCE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是否进口</w:t>
            </w:r>
          </w:p>
        </w:tc>
        <w:tc>
          <w:tcPr>
            <w:tcW w:w="3681" w:type="pct"/>
            <w:vAlign w:val="center"/>
          </w:tcPr>
          <w:p w14:paraId="1834F8BB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技术规格要求</w:t>
            </w:r>
          </w:p>
        </w:tc>
      </w:tr>
      <w:tr w14:paraId="200AA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40" w:type="pct"/>
            <w:vAlign w:val="center"/>
          </w:tcPr>
          <w:p w14:paraId="234907CF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08" w:type="pct"/>
            <w:vAlign w:val="center"/>
          </w:tcPr>
          <w:p w14:paraId="4EBD7BB6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大模型计算平台</w:t>
            </w:r>
          </w:p>
        </w:tc>
        <w:tc>
          <w:tcPr>
            <w:tcW w:w="273" w:type="pct"/>
            <w:vAlign w:val="center"/>
          </w:tcPr>
          <w:p w14:paraId="368E78CE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套</w:t>
            </w:r>
          </w:p>
        </w:tc>
        <w:tc>
          <w:tcPr>
            <w:tcW w:w="243" w:type="pct"/>
            <w:vAlign w:val="center"/>
          </w:tcPr>
          <w:p w14:paraId="27C9A143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53" w:type="pct"/>
            <w:vAlign w:val="center"/>
          </w:tcPr>
          <w:p w14:paraId="21C15D06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否</w:t>
            </w:r>
          </w:p>
        </w:tc>
        <w:tc>
          <w:tcPr>
            <w:tcW w:w="3681" w:type="pct"/>
            <w:vAlign w:val="center"/>
          </w:tcPr>
          <w:p w14:paraId="36CBC562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1、采用风冷散热方式，单节点提供非稀疏情况下AI 算力≥2.24P FLOPS@FP16。</w:t>
            </w:r>
          </w:p>
          <w:p w14:paraId="3C0EB47A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2、CPU及AI芯片通过安全可靠测评。</w:t>
            </w:r>
          </w:p>
          <w:p w14:paraId="60F4AABA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3、CPU：单节点提供≥4 颗 ARM 处理器；单颗 CPU 主频≥2.6GHz，核数≥48 核。</w:t>
            </w:r>
          </w:p>
          <w:p w14:paraId="7D055228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4、AI 芯片：单节点配置≥8 颗 AI 芯片，整机 AI处理器间互联带宽≥390GB/s，整机显存≥512GB；单个 AI 处理器支持≥280TFLOPS@FP16 算力和≥5TFLOPS@FP32 算力，单卡≥64GB HBM 高带宽内存。</w:t>
            </w:r>
          </w:p>
          <w:p w14:paraId="0C5CA8ED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5、内存：配置内存≥1024GB，单根内存≥ 64GB，支持≥32 个内存插槽。</w:t>
            </w:r>
          </w:p>
          <w:p w14:paraId="20191320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6、存储：配置≥2 块 480G SSD, ≥2 块3.84TBNVMe SSD 硬盘。</w:t>
            </w:r>
          </w:p>
          <w:p w14:paraId="5CD3C4CA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7、阵列卡：缓存≥4G，支持 RAID 0/1/5/6/10，配置掉电保护。</w:t>
            </w:r>
          </w:p>
          <w:p w14:paraId="0B9BE566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8、网卡：配置≥ 2 张双口 25GE 网卡（含 25G 多模光模块），配置≥4 块双口 200GE 光网卡（含 200G 多模光模块及配套线缆）。</w:t>
            </w:r>
          </w:p>
          <w:p w14:paraId="21CE0F7A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9、电源模块支持热插拔，2+2 冗余备份，单电源功率≥2600W。</w:t>
            </w:r>
          </w:p>
          <w:p w14:paraId="4C3625A9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10、节点软件功能：</w:t>
            </w:r>
          </w:p>
          <w:p w14:paraId="48D58121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10.1 支持异构算力纳管，提供分布式云管理能力。支持统一管理和调度 GPU、华为昇腾 NPU、寒武纪 MLU 和海光 DCU 等多种异构计算设备。</w:t>
            </w:r>
          </w:p>
          <w:p w14:paraId="1A5E2B60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10.2 可按照公共资源池、专属资源池的划分资源，并支持将公共资源池、专属资源池以配额的方式分配给用户进行使用，基于资源池可查看当前已分配的队列信息及任务信息。</w:t>
            </w:r>
          </w:p>
          <w:p w14:paraId="572BB9DF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10.3 实现队列管理，支持多种建模方式，可针对训练任务分配资源队列及设置训练时长限制，并可按照模型训练、模型推理工作负载进行队列的划分；可查看当前正在运行的任务数及详情。</w:t>
            </w:r>
          </w:p>
          <w:p w14:paraId="54B8EB9F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 xml:space="preserve">10.4 提供 FIFO 调度、优先级调度、主导资源调度（DRF）、组调度等调度策略。 </w:t>
            </w:r>
          </w:p>
          <w:p w14:paraId="4311F76C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10.5 提供算法管理功能，支持预置算法、新建算法、导出、编辑及删除等功能，提供算法的镜像管理功能；提供预置算法仓库功能，集成计算机视觉、自然语言处理、自动语音识别、强化学习、机器学习等领域不少于 50 种算法，实现零代码训练、评估和预测。</w:t>
            </w:r>
          </w:p>
          <w:p w14:paraId="1E3E959E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10.6 支持 TensorFlow、PyTorch、Mindspore、Paddlepaddle 等异构 AI 框架，支持单机多卡以及多机多卡分布式并行训练任务。</w:t>
            </w:r>
          </w:p>
          <w:p w14:paraId="7C9D6C4E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10.7 支持在线代码开发，实现在线模型开发、调试与训练全流程操作，支持训练过程实时监控，提供可视化工具查看训练过程参数变化。</w:t>
            </w:r>
          </w:p>
          <w:p w14:paraId="2BAABA16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10.8 提供训练任务的运行状态查看，包括版本状态、配置参数、日志、资源等信息；支持查看智算平台训练和推理任务信息，以及任务上运行的容器组监控信息，实时跟进任务的运行情况。</w:t>
            </w:r>
          </w:p>
          <w:p w14:paraId="3EDFE74A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10.9 具备模型仓库功能，对平台模型进行统一纳管，支持模型导入、及删除功能，实现在线快速部署。</w:t>
            </w:r>
          </w:p>
          <w:p w14:paraId="31F101E5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10.10 实现多维度查看集群及节点内加速卡、CPU、内存和显存等资源的使用情况，支持查看容器组上运行的容器信息和容器监控；支持 K8S 标准集群的接入和管理。</w:t>
            </w:r>
          </w:p>
          <w:p w14:paraId="076EA38D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10.11 提供针对平台的操作及接口访问日志的记录功能，提供登录日志、操作日志、服务日志的管理功能，并保存不低于 90 天。</w:t>
            </w:r>
          </w:p>
          <w:p w14:paraId="42F19288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10.12 提供对智算平台内的资源规格进行配置，将加速卡、CPU 和内存以合理的比例进行组合配置，分配给租户使用。</w:t>
            </w:r>
          </w:p>
          <w:p w14:paraId="29E09392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10.13 平台支持对接开源或商用高性能存储系统，支持存储在线扩展。</w:t>
            </w:r>
          </w:p>
          <w:p w14:paraId="6ACF8508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10.1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 xml:space="preserve"> 支持通过多个维度对算力实例进行统计，如实例总量、运行中数量、共享/专属资源池任务数量等；支持对用户使用的数据存储进行统计。</w:t>
            </w:r>
          </w:p>
          <w:p w14:paraId="7460E154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10.1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 xml:space="preserve"> 系统的支持用户数≥5000 个，系统允许的最大同时在线用户数≥ 500 个。</w:t>
            </w:r>
          </w:p>
          <w:p w14:paraId="535B29B5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、包含 1个硬件节点，节点软件功能≥1 节点。</w:t>
            </w:r>
          </w:p>
        </w:tc>
      </w:tr>
      <w:tr w14:paraId="7E8DC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40" w:type="pct"/>
            <w:vAlign w:val="center"/>
          </w:tcPr>
          <w:p w14:paraId="47B590E6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308" w:type="pct"/>
            <w:vAlign w:val="center"/>
          </w:tcPr>
          <w:p w14:paraId="315092F5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串行计算集群平台</w:t>
            </w:r>
          </w:p>
        </w:tc>
        <w:tc>
          <w:tcPr>
            <w:tcW w:w="273" w:type="pct"/>
            <w:vAlign w:val="center"/>
          </w:tcPr>
          <w:p w14:paraId="7D8E7EE5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套</w:t>
            </w:r>
          </w:p>
        </w:tc>
        <w:tc>
          <w:tcPr>
            <w:tcW w:w="243" w:type="pct"/>
            <w:vAlign w:val="center"/>
          </w:tcPr>
          <w:p w14:paraId="776F7D0D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53" w:type="pct"/>
            <w:vAlign w:val="center"/>
          </w:tcPr>
          <w:p w14:paraId="52A3E0B6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否</w:t>
            </w:r>
          </w:p>
        </w:tc>
        <w:tc>
          <w:tcPr>
            <w:tcW w:w="3681" w:type="pct"/>
            <w:shd w:val="clear" w:color="auto" w:fill="FFFFFF"/>
          </w:tcPr>
          <w:p w14:paraId="13025A6E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处理器：≥2颗 ，单颗CPU基本频率≥2.3GHz，核心数≥32核，缓存≥144MB</w:t>
            </w:r>
          </w:p>
          <w:p w14:paraId="01B822B1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内存：≥512GB DDR5-5600 RDIMM;</w:t>
            </w:r>
          </w:p>
          <w:p w14:paraId="57DDDC62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硬盘：≥2块480G SSD，≥1块3.84T NVME SSD；</w:t>
            </w:r>
          </w:p>
          <w:p w14:paraId="6F630B91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AI计算单元：≥8块，每块≥84GB GDDR7显存，≥4个DP接口，FP32≥74TFlops，支持FP16、FP8、FP4 张量核心，支持RoCEv2和InfiniBand RDMA；</w:t>
            </w:r>
          </w:p>
          <w:p w14:paraId="2D76EB4D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5、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网卡1：≥2端口25Gb/s 光接口以太网卡（含以太网多模光模块）;</w:t>
            </w:r>
          </w:p>
          <w:p w14:paraId="3D8D5458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网卡2：≥1端口CX7 400Gb/s 光接口网卡;</w:t>
            </w:r>
          </w:p>
          <w:p w14:paraId="727A5BE2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7、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网卡3：配置CX8 Switch模块，提供≥8口400Gb/s光接口；</w:t>
            </w:r>
          </w:p>
          <w:p w14:paraId="7793709C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8、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模块：≥9 块400G 以太网多模光模块;</w:t>
            </w:r>
          </w:p>
          <w:p w14:paraId="1541108A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9、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电源：≥6块2600W 交流电源模块或总功率不低于15000W;</w:t>
            </w:r>
          </w:p>
        </w:tc>
      </w:tr>
      <w:tr w14:paraId="4CFBB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40" w:type="pct"/>
            <w:vAlign w:val="center"/>
          </w:tcPr>
          <w:p w14:paraId="69F06DC7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308" w:type="pct"/>
            <w:vAlign w:val="center"/>
          </w:tcPr>
          <w:p w14:paraId="096649BF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深度学习训练推理平台</w:t>
            </w:r>
          </w:p>
        </w:tc>
        <w:tc>
          <w:tcPr>
            <w:tcW w:w="273" w:type="pct"/>
            <w:vAlign w:val="center"/>
          </w:tcPr>
          <w:p w14:paraId="36B0A2F5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套</w:t>
            </w:r>
          </w:p>
        </w:tc>
        <w:tc>
          <w:tcPr>
            <w:tcW w:w="243" w:type="pct"/>
            <w:vAlign w:val="center"/>
          </w:tcPr>
          <w:p w14:paraId="277AD47A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53" w:type="pct"/>
            <w:vAlign w:val="center"/>
          </w:tcPr>
          <w:p w14:paraId="41EB349F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否</w:t>
            </w:r>
          </w:p>
        </w:tc>
        <w:tc>
          <w:tcPr>
            <w:tcW w:w="3681" w:type="pct"/>
            <w:vAlign w:val="center"/>
          </w:tcPr>
          <w:p w14:paraId="51A43F2C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含3台物理节点，每节点参数要求如下：</w:t>
            </w:r>
          </w:p>
          <w:p w14:paraId="757FCFB6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处理器：≥2颗处理器；每颗处理器基本频率≥2.3GHz、核心≥32核；</w:t>
            </w:r>
          </w:p>
          <w:p w14:paraId="29A4CF4C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内存：≥512GB DDR5-5600B RDIMM;</w:t>
            </w:r>
          </w:p>
          <w:p w14:paraId="17CAE283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硬盘：≥2块960GB SATA SSD ;</w:t>
            </w:r>
          </w:p>
          <w:p w14:paraId="4B52C092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GPU卡：≥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块24G显存GPU卡，支持渲染，单卡算力FP16≥419TFLOPS，不低于GDDR7内存，PCIE5.0；</w:t>
            </w:r>
          </w:p>
          <w:p w14:paraId="4A22430F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5、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网卡1：≥2块2端口25Gb/s 光接口以太网卡（含以太网多模光模块）;</w:t>
            </w:r>
          </w:p>
          <w:p w14:paraId="44FCF99A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网卡2：≥4端口1Gb/s 电接口以太网卡;</w:t>
            </w:r>
          </w:p>
          <w:p w14:paraId="73A5EDA8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7、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电源：冗余电源模块;</w:t>
            </w:r>
          </w:p>
          <w:p w14:paraId="1F973693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8、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管理：支持双因素认证：支持动态令牌和静态密码验证。</w:t>
            </w:r>
          </w:p>
          <w:p w14:paraId="66970FD5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9、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平台授权：≥6颗CPU虚拟化授权，需同时接入现有虚拟化平台，实现统一管理。</w:t>
            </w:r>
          </w:p>
        </w:tc>
      </w:tr>
      <w:tr w14:paraId="48C6D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40" w:type="pct"/>
            <w:vAlign w:val="center"/>
          </w:tcPr>
          <w:p w14:paraId="5A3D241F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08" w:type="pct"/>
            <w:vAlign w:val="center"/>
          </w:tcPr>
          <w:p w14:paraId="01F74146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ROCE交换机</w:t>
            </w:r>
          </w:p>
        </w:tc>
        <w:tc>
          <w:tcPr>
            <w:tcW w:w="273" w:type="pct"/>
            <w:vAlign w:val="center"/>
          </w:tcPr>
          <w:p w14:paraId="1F6D34CF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243" w:type="pct"/>
            <w:vAlign w:val="center"/>
          </w:tcPr>
          <w:p w14:paraId="35A7AD2B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53" w:type="pct"/>
            <w:vAlign w:val="center"/>
          </w:tcPr>
          <w:p w14:paraId="3BE10B4E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否</w:t>
            </w:r>
          </w:p>
        </w:tc>
        <w:tc>
          <w:tcPr>
            <w:tcW w:w="3681" w:type="pct"/>
            <w:vAlign w:val="center"/>
          </w:tcPr>
          <w:p w14:paraId="752F0412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1、交换容量≥51Tbps，包转发率≥19000Mpps；</w:t>
            </w:r>
          </w:p>
          <w:p w14:paraId="7746E2DB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、支持≥64个400G QSFP112端口，≥2个25G SFP28端口；</w:t>
            </w:r>
          </w:p>
          <w:p w14:paraId="7579DA73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、配置≥50个200G QSFP56多模光模块；≥9个400G QSFP112多模光模块；配置所需光纤线缆</w:t>
            </w:r>
          </w:p>
          <w:p w14:paraId="715435F0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、配置双电源，≥4个风扇模块。</w:t>
            </w:r>
          </w:p>
        </w:tc>
      </w:tr>
    </w:tbl>
    <w:p w14:paraId="3A2787D5">
      <w:pPr>
        <w:pStyle w:val="3"/>
        <w:rPr>
          <w:rFonts w:hint="eastAsia" w:ascii="宋体" w:hAnsi="宋体" w:eastAsia="宋体" w:cs="宋体"/>
          <w:color w:val="auto"/>
        </w:rPr>
      </w:pPr>
    </w:p>
    <w:p w14:paraId="4E2F52AA">
      <w:pPr>
        <w:spacing w:line="360" w:lineRule="auto"/>
        <w:rPr>
          <w:rFonts w:hint="eastAsia"/>
          <w:color w:val="auto"/>
          <w:highlight w:val="none"/>
          <w:lang w:val="en-US" w:eastAsia="zh-CN"/>
        </w:rPr>
      </w:pPr>
    </w:p>
    <w:sectPr>
      <w:headerReference r:id="rId3" w:type="default"/>
      <w:footerReference r:id="rId4" w:type="default"/>
      <w:footerReference r:id="rId5" w:type="even"/>
      <w:pgSz w:w="16838" w:h="11906" w:orient="landscape"/>
      <w:pgMar w:top="1389" w:right="1701" w:bottom="1361" w:left="1701" w:header="851" w:footer="992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DB4D5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E95CF6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E95CF6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CA602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D78CAE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D78CAE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633B1"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515382"/>
    <w:multiLevelType w:val="singleLevel"/>
    <w:tmpl w:val="5451538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evenAndOddHeaders w:val="1"/>
  <w:drawingGridHorizontalSpacing w:val="10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xODRkZTkzMzcxYzlkZTlhODQ0YTE1M2I5NzViNTYifQ=="/>
  </w:docVars>
  <w:rsids>
    <w:rsidRoot w:val="0030106B"/>
    <w:rsid w:val="00000698"/>
    <w:rsid w:val="000011A5"/>
    <w:rsid w:val="00010BF1"/>
    <w:rsid w:val="00023BDD"/>
    <w:rsid w:val="00024D0A"/>
    <w:rsid w:val="00030CB2"/>
    <w:rsid w:val="0004030A"/>
    <w:rsid w:val="00041346"/>
    <w:rsid w:val="00053AFD"/>
    <w:rsid w:val="00057C84"/>
    <w:rsid w:val="00074B50"/>
    <w:rsid w:val="00082A58"/>
    <w:rsid w:val="00091335"/>
    <w:rsid w:val="000B39FD"/>
    <w:rsid w:val="000B42FA"/>
    <w:rsid w:val="000B5AE0"/>
    <w:rsid w:val="000B6345"/>
    <w:rsid w:val="000B63B4"/>
    <w:rsid w:val="000B7901"/>
    <w:rsid w:val="000C000F"/>
    <w:rsid w:val="000C39BB"/>
    <w:rsid w:val="000D0EB2"/>
    <w:rsid w:val="000D4ADE"/>
    <w:rsid w:val="000E5582"/>
    <w:rsid w:val="0010654E"/>
    <w:rsid w:val="001139C2"/>
    <w:rsid w:val="00115C13"/>
    <w:rsid w:val="0012051F"/>
    <w:rsid w:val="00121ED2"/>
    <w:rsid w:val="001327F4"/>
    <w:rsid w:val="00137A95"/>
    <w:rsid w:val="001431C5"/>
    <w:rsid w:val="001558BB"/>
    <w:rsid w:val="00161377"/>
    <w:rsid w:val="001640FF"/>
    <w:rsid w:val="0018274C"/>
    <w:rsid w:val="00185DB9"/>
    <w:rsid w:val="001A356B"/>
    <w:rsid w:val="001A75DA"/>
    <w:rsid w:val="001B3C20"/>
    <w:rsid w:val="001B446C"/>
    <w:rsid w:val="001B75A4"/>
    <w:rsid w:val="001C6A57"/>
    <w:rsid w:val="001D4B6A"/>
    <w:rsid w:val="001D7AA6"/>
    <w:rsid w:val="001F28D0"/>
    <w:rsid w:val="00204073"/>
    <w:rsid w:val="0020584D"/>
    <w:rsid w:val="00206E9A"/>
    <w:rsid w:val="002171BF"/>
    <w:rsid w:val="00227709"/>
    <w:rsid w:val="0023368B"/>
    <w:rsid w:val="00234448"/>
    <w:rsid w:val="00245D1C"/>
    <w:rsid w:val="002474B6"/>
    <w:rsid w:val="00256960"/>
    <w:rsid w:val="00280711"/>
    <w:rsid w:val="00281884"/>
    <w:rsid w:val="00294097"/>
    <w:rsid w:val="0029418C"/>
    <w:rsid w:val="002943CB"/>
    <w:rsid w:val="00295ECF"/>
    <w:rsid w:val="002A0169"/>
    <w:rsid w:val="002A0F48"/>
    <w:rsid w:val="002A2CD7"/>
    <w:rsid w:val="002A51E4"/>
    <w:rsid w:val="002A5A75"/>
    <w:rsid w:val="002A5DBC"/>
    <w:rsid w:val="002A65D9"/>
    <w:rsid w:val="002B2AAE"/>
    <w:rsid w:val="002C1253"/>
    <w:rsid w:val="002D08D1"/>
    <w:rsid w:val="002D15BB"/>
    <w:rsid w:val="002E1703"/>
    <w:rsid w:val="0030106B"/>
    <w:rsid w:val="00303D8C"/>
    <w:rsid w:val="0030567C"/>
    <w:rsid w:val="00311A58"/>
    <w:rsid w:val="00313BCD"/>
    <w:rsid w:val="00321509"/>
    <w:rsid w:val="003233D3"/>
    <w:rsid w:val="00332B69"/>
    <w:rsid w:val="003336D7"/>
    <w:rsid w:val="0033419E"/>
    <w:rsid w:val="00341B76"/>
    <w:rsid w:val="00341D2E"/>
    <w:rsid w:val="00346900"/>
    <w:rsid w:val="00363E08"/>
    <w:rsid w:val="0036611E"/>
    <w:rsid w:val="00373383"/>
    <w:rsid w:val="0037562E"/>
    <w:rsid w:val="00385BF9"/>
    <w:rsid w:val="00395696"/>
    <w:rsid w:val="00397CCF"/>
    <w:rsid w:val="003A0AAC"/>
    <w:rsid w:val="003A37D8"/>
    <w:rsid w:val="003A5CDE"/>
    <w:rsid w:val="003A6D15"/>
    <w:rsid w:val="003A708B"/>
    <w:rsid w:val="003B067A"/>
    <w:rsid w:val="003B4425"/>
    <w:rsid w:val="003E2DEF"/>
    <w:rsid w:val="00406DEA"/>
    <w:rsid w:val="00426BA3"/>
    <w:rsid w:val="00432A36"/>
    <w:rsid w:val="004357E2"/>
    <w:rsid w:val="00440ACF"/>
    <w:rsid w:val="00477CE5"/>
    <w:rsid w:val="004804E6"/>
    <w:rsid w:val="00480711"/>
    <w:rsid w:val="00486DEB"/>
    <w:rsid w:val="00491A3E"/>
    <w:rsid w:val="00495E6D"/>
    <w:rsid w:val="004A01C4"/>
    <w:rsid w:val="004A4505"/>
    <w:rsid w:val="004A7884"/>
    <w:rsid w:val="004B090D"/>
    <w:rsid w:val="004B4F03"/>
    <w:rsid w:val="004C2305"/>
    <w:rsid w:val="004D5768"/>
    <w:rsid w:val="004E5D20"/>
    <w:rsid w:val="004E6E86"/>
    <w:rsid w:val="004E7557"/>
    <w:rsid w:val="004F1926"/>
    <w:rsid w:val="004F7B84"/>
    <w:rsid w:val="005050A2"/>
    <w:rsid w:val="005258EA"/>
    <w:rsid w:val="00525A72"/>
    <w:rsid w:val="0052734A"/>
    <w:rsid w:val="0052744F"/>
    <w:rsid w:val="00530B6C"/>
    <w:rsid w:val="00532E4E"/>
    <w:rsid w:val="0054053F"/>
    <w:rsid w:val="00545EA5"/>
    <w:rsid w:val="00550D46"/>
    <w:rsid w:val="00557005"/>
    <w:rsid w:val="00560C0C"/>
    <w:rsid w:val="0056787B"/>
    <w:rsid w:val="00572C05"/>
    <w:rsid w:val="00582A71"/>
    <w:rsid w:val="00596DC2"/>
    <w:rsid w:val="005A2704"/>
    <w:rsid w:val="005C22DF"/>
    <w:rsid w:val="005D17E8"/>
    <w:rsid w:val="005D2281"/>
    <w:rsid w:val="005E3BEE"/>
    <w:rsid w:val="00601332"/>
    <w:rsid w:val="00603667"/>
    <w:rsid w:val="00620304"/>
    <w:rsid w:val="00627B0B"/>
    <w:rsid w:val="006426FD"/>
    <w:rsid w:val="00647C24"/>
    <w:rsid w:val="00650317"/>
    <w:rsid w:val="00652295"/>
    <w:rsid w:val="006654F4"/>
    <w:rsid w:val="00670318"/>
    <w:rsid w:val="0068173B"/>
    <w:rsid w:val="00682C78"/>
    <w:rsid w:val="006834D4"/>
    <w:rsid w:val="006838BA"/>
    <w:rsid w:val="00685EE4"/>
    <w:rsid w:val="006864EA"/>
    <w:rsid w:val="006940F8"/>
    <w:rsid w:val="006A6358"/>
    <w:rsid w:val="006B68D2"/>
    <w:rsid w:val="006C1D30"/>
    <w:rsid w:val="006C3692"/>
    <w:rsid w:val="006C6460"/>
    <w:rsid w:val="006D0C46"/>
    <w:rsid w:val="006D24E1"/>
    <w:rsid w:val="006E69AD"/>
    <w:rsid w:val="006F59CE"/>
    <w:rsid w:val="006F7788"/>
    <w:rsid w:val="0070377B"/>
    <w:rsid w:val="00704BDA"/>
    <w:rsid w:val="00713A03"/>
    <w:rsid w:val="00716F55"/>
    <w:rsid w:val="00721EC4"/>
    <w:rsid w:val="0072358F"/>
    <w:rsid w:val="00724798"/>
    <w:rsid w:val="00732866"/>
    <w:rsid w:val="0073541C"/>
    <w:rsid w:val="00742B06"/>
    <w:rsid w:val="00744850"/>
    <w:rsid w:val="00745D19"/>
    <w:rsid w:val="0074770C"/>
    <w:rsid w:val="00747780"/>
    <w:rsid w:val="00754EFB"/>
    <w:rsid w:val="00757933"/>
    <w:rsid w:val="0076516B"/>
    <w:rsid w:val="00775034"/>
    <w:rsid w:val="00775D4A"/>
    <w:rsid w:val="00776C9F"/>
    <w:rsid w:val="0078259D"/>
    <w:rsid w:val="00792D2E"/>
    <w:rsid w:val="00793EC7"/>
    <w:rsid w:val="0079517B"/>
    <w:rsid w:val="007A3274"/>
    <w:rsid w:val="007A3969"/>
    <w:rsid w:val="007B02AC"/>
    <w:rsid w:val="007B39EC"/>
    <w:rsid w:val="007B538D"/>
    <w:rsid w:val="007B6CD5"/>
    <w:rsid w:val="007C1D74"/>
    <w:rsid w:val="007C3FE7"/>
    <w:rsid w:val="007D5A2D"/>
    <w:rsid w:val="007D6D43"/>
    <w:rsid w:val="007D7B4C"/>
    <w:rsid w:val="007E251F"/>
    <w:rsid w:val="007F5B17"/>
    <w:rsid w:val="00806C4C"/>
    <w:rsid w:val="00806ED7"/>
    <w:rsid w:val="00816668"/>
    <w:rsid w:val="0082494B"/>
    <w:rsid w:val="00827280"/>
    <w:rsid w:val="00832BE9"/>
    <w:rsid w:val="0085115F"/>
    <w:rsid w:val="00851568"/>
    <w:rsid w:val="008557C6"/>
    <w:rsid w:val="00863B7A"/>
    <w:rsid w:val="00865B33"/>
    <w:rsid w:val="008773EE"/>
    <w:rsid w:val="00885A35"/>
    <w:rsid w:val="008943C8"/>
    <w:rsid w:val="008B2331"/>
    <w:rsid w:val="008C1369"/>
    <w:rsid w:val="008D0665"/>
    <w:rsid w:val="008D429B"/>
    <w:rsid w:val="008E3E61"/>
    <w:rsid w:val="008E6363"/>
    <w:rsid w:val="008E6A71"/>
    <w:rsid w:val="008E7A37"/>
    <w:rsid w:val="008F234F"/>
    <w:rsid w:val="009174BB"/>
    <w:rsid w:val="0092478F"/>
    <w:rsid w:val="00925FC9"/>
    <w:rsid w:val="009331FD"/>
    <w:rsid w:val="009333AA"/>
    <w:rsid w:val="00934E05"/>
    <w:rsid w:val="00935891"/>
    <w:rsid w:val="00940044"/>
    <w:rsid w:val="0094249D"/>
    <w:rsid w:val="00945FB0"/>
    <w:rsid w:val="00950CDE"/>
    <w:rsid w:val="00960496"/>
    <w:rsid w:val="009613A2"/>
    <w:rsid w:val="00961EA2"/>
    <w:rsid w:val="00971000"/>
    <w:rsid w:val="0097497E"/>
    <w:rsid w:val="00975C5B"/>
    <w:rsid w:val="00976677"/>
    <w:rsid w:val="009818A0"/>
    <w:rsid w:val="009954C9"/>
    <w:rsid w:val="009A2231"/>
    <w:rsid w:val="009A31DA"/>
    <w:rsid w:val="009A74AD"/>
    <w:rsid w:val="009B74D4"/>
    <w:rsid w:val="009C5CD8"/>
    <w:rsid w:val="009D120F"/>
    <w:rsid w:val="009D7338"/>
    <w:rsid w:val="009E042D"/>
    <w:rsid w:val="009E0DFB"/>
    <w:rsid w:val="009F09A1"/>
    <w:rsid w:val="009F0AD2"/>
    <w:rsid w:val="009F62E4"/>
    <w:rsid w:val="00A02722"/>
    <w:rsid w:val="00A27C51"/>
    <w:rsid w:val="00A33158"/>
    <w:rsid w:val="00A3727E"/>
    <w:rsid w:val="00A51941"/>
    <w:rsid w:val="00A618DD"/>
    <w:rsid w:val="00A914B8"/>
    <w:rsid w:val="00AA02A0"/>
    <w:rsid w:val="00AA039E"/>
    <w:rsid w:val="00AA0D27"/>
    <w:rsid w:val="00AA5010"/>
    <w:rsid w:val="00AA66E2"/>
    <w:rsid w:val="00AB69C2"/>
    <w:rsid w:val="00AC64BC"/>
    <w:rsid w:val="00AD23B5"/>
    <w:rsid w:val="00AF462B"/>
    <w:rsid w:val="00AF7C1B"/>
    <w:rsid w:val="00B0192D"/>
    <w:rsid w:val="00B0594F"/>
    <w:rsid w:val="00B17AA9"/>
    <w:rsid w:val="00B26D30"/>
    <w:rsid w:val="00B27A3A"/>
    <w:rsid w:val="00B3348B"/>
    <w:rsid w:val="00B36F31"/>
    <w:rsid w:val="00B3721E"/>
    <w:rsid w:val="00B429F9"/>
    <w:rsid w:val="00B44D3C"/>
    <w:rsid w:val="00B540E1"/>
    <w:rsid w:val="00B615BD"/>
    <w:rsid w:val="00B6319E"/>
    <w:rsid w:val="00B95657"/>
    <w:rsid w:val="00BA39F3"/>
    <w:rsid w:val="00BA5EA9"/>
    <w:rsid w:val="00BB2B98"/>
    <w:rsid w:val="00BC3F97"/>
    <w:rsid w:val="00BD3C3A"/>
    <w:rsid w:val="00BD4CB1"/>
    <w:rsid w:val="00BE1DD2"/>
    <w:rsid w:val="00BE2640"/>
    <w:rsid w:val="00BF0B6A"/>
    <w:rsid w:val="00BF44E3"/>
    <w:rsid w:val="00BF4CE2"/>
    <w:rsid w:val="00BF650C"/>
    <w:rsid w:val="00C071E5"/>
    <w:rsid w:val="00C268F5"/>
    <w:rsid w:val="00C26C4C"/>
    <w:rsid w:val="00C359CA"/>
    <w:rsid w:val="00C552F0"/>
    <w:rsid w:val="00C61367"/>
    <w:rsid w:val="00C61F89"/>
    <w:rsid w:val="00C621A8"/>
    <w:rsid w:val="00C66936"/>
    <w:rsid w:val="00C82A0C"/>
    <w:rsid w:val="00C847C1"/>
    <w:rsid w:val="00CA61CA"/>
    <w:rsid w:val="00CA6C28"/>
    <w:rsid w:val="00CB65A6"/>
    <w:rsid w:val="00CB78AC"/>
    <w:rsid w:val="00CC1069"/>
    <w:rsid w:val="00CC773F"/>
    <w:rsid w:val="00CD14BA"/>
    <w:rsid w:val="00CE6BB8"/>
    <w:rsid w:val="00CF1935"/>
    <w:rsid w:val="00CF4152"/>
    <w:rsid w:val="00D00608"/>
    <w:rsid w:val="00D074CA"/>
    <w:rsid w:val="00D16306"/>
    <w:rsid w:val="00D40704"/>
    <w:rsid w:val="00D67C46"/>
    <w:rsid w:val="00D80FFC"/>
    <w:rsid w:val="00D85451"/>
    <w:rsid w:val="00D87325"/>
    <w:rsid w:val="00DA7B71"/>
    <w:rsid w:val="00DB0852"/>
    <w:rsid w:val="00DB1DFA"/>
    <w:rsid w:val="00DB3DAB"/>
    <w:rsid w:val="00DC18FC"/>
    <w:rsid w:val="00DD5595"/>
    <w:rsid w:val="00DE3F34"/>
    <w:rsid w:val="00E05C4C"/>
    <w:rsid w:val="00E065DD"/>
    <w:rsid w:val="00E06926"/>
    <w:rsid w:val="00E076D8"/>
    <w:rsid w:val="00E15248"/>
    <w:rsid w:val="00E153F9"/>
    <w:rsid w:val="00E156A1"/>
    <w:rsid w:val="00E1779E"/>
    <w:rsid w:val="00E3729F"/>
    <w:rsid w:val="00E439CC"/>
    <w:rsid w:val="00E45A91"/>
    <w:rsid w:val="00E510C7"/>
    <w:rsid w:val="00E6365E"/>
    <w:rsid w:val="00E664A1"/>
    <w:rsid w:val="00E7103A"/>
    <w:rsid w:val="00E73768"/>
    <w:rsid w:val="00E918BF"/>
    <w:rsid w:val="00EB0721"/>
    <w:rsid w:val="00EB255F"/>
    <w:rsid w:val="00EB58B9"/>
    <w:rsid w:val="00EB5ACD"/>
    <w:rsid w:val="00EB7248"/>
    <w:rsid w:val="00ED2D29"/>
    <w:rsid w:val="00ED30F2"/>
    <w:rsid w:val="00ED65CD"/>
    <w:rsid w:val="00ED7165"/>
    <w:rsid w:val="00F0101A"/>
    <w:rsid w:val="00F04198"/>
    <w:rsid w:val="00F066DB"/>
    <w:rsid w:val="00F06D4D"/>
    <w:rsid w:val="00F216D6"/>
    <w:rsid w:val="00F2235A"/>
    <w:rsid w:val="00F36B28"/>
    <w:rsid w:val="00F54108"/>
    <w:rsid w:val="00F67A51"/>
    <w:rsid w:val="00F70B6F"/>
    <w:rsid w:val="00F80F36"/>
    <w:rsid w:val="00F81E7C"/>
    <w:rsid w:val="00FA7BC0"/>
    <w:rsid w:val="00FB5D64"/>
    <w:rsid w:val="00FB6BEB"/>
    <w:rsid w:val="00FC3B73"/>
    <w:rsid w:val="00FD2F45"/>
    <w:rsid w:val="00FE199A"/>
    <w:rsid w:val="00FE269F"/>
    <w:rsid w:val="00FE2F98"/>
    <w:rsid w:val="00FE6C01"/>
    <w:rsid w:val="012F2443"/>
    <w:rsid w:val="01825488"/>
    <w:rsid w:val="018C0E03"/>
    <w:rsid w:val="01BA61B0"/>
    <w:rsid w:val="01BB516D"/>
    <w:rsid w:val="021B4775"/>
    <w:rsid w:val="02BA0F2C"/>
    <w:rsid w:val="037979A5"/>
    <w:rsid w:val="03CB3F9B"/>
    <w:rsid w:val="03D42F29"/>
    <w:rsid w:val="03D83EDB"/>
    <w:rsid w:val="03E47515"/>
    <w:rsid w:val="03F359AA"/>
    <w:rsid w:val="045521C0"/>
    <w:rsid w:val="049814E0"/>
    <w:rsid w:val="04A15406"/>
    <w:rsid w:val="053B0618"/>
    <w:rsid w:val="05672E13"/>
    <w:rsid w:val="057C19CF"/>
    <w:rsid w:val="05DB7E97"/>
    <w:rsid w:val="06836769"/>
    <w:rsid w:val="06EA0626"/>
    <w:rsid w:val="06ED06D9"/>
    <w:rsid w:val="088A7F5F"/>
    <w:rsid w:val="089A4646"/>
    <w:rsid w:val="08A95854"/>
    <w:rsid w:val="08BD7FAD"/>
    <w:rsid w:val="08CF6958"/>
    <w:rsid w:val="090827CD"/>
    <w:rsid w:val="094C6326"/>
    <w:rsid w:val="09D81E8C"/>
    <w:rsid w:val="0A0F696E"/>
    <w:rsid w:val="0A1102E2"/>
    <w:rsid w:val="0A480B9C"/>
    <w:rsid w:val="0AC858A8"/>
    <w:rsid w:val="0B4524FB"/>
    <w:rsid w:val="0B8909A2"/>
    <w:rsid w:val="0BE5112D"/>
    <w:rsid w:val="0BF57DE5"/>
    <w:rsid w:val="0C2F4039"/>
    <w:rsid w:val="0C470F50"/>
    <w:rsid w:val="0C5E57C4"/>
    <w:rsid w:val="0C676F35"/>
    <w:rsid w:val="0D305579"/>
    <w:rsid w:val="0D354400"/>
    <w:rsid w:val="0D742563"/>
    <w:rsid w:val="0DDE4FD5"/>
    <w:rsid w:val="0DE10621"/>
    <w:rsid w:val="0E3A4297"/>
    <w:rsid w:val="0E527771"/>
    <w:rsid w:val="0E963B01"/>
    <w:rsid w:val="0EA855E3"/>
    <w:rsid w:val="0EB06D04"/>
    <w:rsid w:val="0EE77A81"/>
    <w:rsid w:val="0F220B1B"/>
    <w:rsid w:val="0F2664F6"/>
    <w:rsid w:val="0F277E39"/>
    <w:rsid w:val="0FE268D2"/>
    <w:rsid w:val="103510F8"/>
    <w:rsid w:val="107365F0"/>
    <w:rsid w:val="107B2A34"/>
    <w:rsid w:val="10FB40F0"/>
    <w:rsid w:val="1109680C"/>
    <w:rsid w:val="11296A34"/>
    <w:rsid w:val="117774DD"/>
    <w:rsid w:val="11D16BFE"/>
    <w:rsid w:val="12151156"/>
    <w:rsid w:val="12371157"/>
    <w:rsid w:val="128F4AEF"/>
    <w:rsid w:val="1293615E"/>
    <w:rsid w:val="137D5290"/>
    <w:rsid w:val="13983E78"/>
    <w:rsid w:val="143815AA"/>
    <w:rsid w:val="14401B9A"/>
    <w:rsid w:val="14883EEC"/>
    <w:rsid w:val="14E45A3A"/>
    <w:rsid w:val="14E86739"/>
    <w:rsid w:val="14F00C9E"/>
    <w:rsid w:val="151A4A2D"/>
    <w:rsid w:val="158E72E0"/>
    <w:rsid w:val="159B7C4F"/>
    <w:rsid w:val="15BD5E17"/>
    <w:rsid w:val="160C46A9"/>
    <w:rsid w:val="165A3666"/>
    <w:rsid w:val="174314C9"/>
    <w:rsid w:val="174707F2"/>
    <w:rsid w:val="1773377D"/>
    <w:rsid w:val="18DE360D"/>
    <w:rsid w:val="197762DD"/>
    <w:rsid w:val="19807C1E"/>
    <w:rsid w:val="19AF1F1B"/>
    <w:rsid w:val="19F811CC"/>
    <w:rsid w:val="1A676352"/>
    <w:rsid w:val="1AE856E5"/>
    <w:rsid w:val="1B1B78AF"/>
    <w:rsid w:val="1B776A68"/>
    <w:rsid w:val="1BCB46BE"/>
    <w:rsid w:val="1C0C42AF"/>
    <w:rsid w:val="1C2370E7"/>
    <w:rsid w:val="1C662D65"/>
    <w:rsid w:val="1C9D605B"/>
    <w:rsid w:val="1CD6156D"/>
    <w:rsid w:val="1D540AD6"/>
    <w:rsid w:val="1DD27F86"/>
    <w:rsid w:val="1F2B35EE"/>
    <w:rsid w:val="20250841"/>
    <w:rsid w:val="212E7BC9"/>
    <w:rsid w:val="21FA7AAB"/>
    <w:rsid w:val="221C3EC6"/>
    <w:rsid w:val="22566075"/>
    <w:rsid w:val="2291000C"/>
    <w:rsid w:val="22E63BAE"/>
    <w:rsid w:val="23737B15"/>
    <w:rsid w:val="244514B2"/>
    <w:rsid w:val="25140F7F"/>
    <w:rsid w:val="25761B3F"/>
    <w:rsid w:val="260E79F5"/>
    <w:rsid w:val="272C6959"/>
    <w:rsid w:val="276460F3"/>
    <w:rsid w:val="27BB03A7"/>
    <w:rsid w:val="27F616E4"/>
    <w:rsid w:val="28AF15F0"/>
    <w:rsid w:val="28EF7C3E"/>
    <w:rsid w:val="29114058"/>
    <w:rsid w:val="29224275"/>
    <w:rsid w:val="29657F00"/>
    <w:rsid w:val="296A1CA7"/>
    <w:rsid w:val="29A808D0"/>
    <w:rsid w:val="29D4444C"/>
    <w:rsid w:val="29D924F1"/>
    <w:rsid w:val="2A1536D4"/>
    <w:rsid w:val="2A244203"/>
    <w:rsid w:val="2A514EB6"/>
    <w:rsid w:val="2B083239"/>
    <w:rsid w:val="2B2A31B0"/>
    <w:rsid w:val="2B3B53BD"/>
    <w:rsid w:val="2BB60EE7"/>
    <w:rsid w:val="2BE32FF5"/>
    <w:rsid w:val="2BEC6A86"/>
    <w:rsid w:val="2C932FD6"/>
    <w:rsid w:val="2D4542D1"/>
    <w:rsid w:val="2DE7410E"/>
    <w:rsid w:val="2E6855F6"/>
    <w:rsid w:val="2EBC4560"/>
    <w:rsid w:val="2F372E8E"/>
    <w:rsid w:val="2F792957"/>
    <w:rsid w:val="2F9C6646"/>
    <w:rsid w:val="306C3613"/>
    <w:rsid w:val="30AB223A"/>
    <w:rsid w:val="30BA4FD6"/>
    <w:rsid w:val="31104BF6"/>
    <w:rsid w:val="31523460"/>
    <w:rsid w:val="31684A32"/>
    <w:rsid w:val="31DB583A"/>
    <w:rsid w:val="32A45F3D"/>
    <w:rsid w:val="33370B5F"/>
    <w:rsid w:val="333C43C8"/>
    <w:rsid w:val="33941B0E"/>
    <w:rsid w:val="34034EE6"/>
    <w:rsid w:val="34140EA1"/>
    <w:rsid w:val="35154ED0"/>
    <w:rsid w:val="353A4937"/>
    <w:rsid w:val="35D5640E"/>
    <w:rsid w:val="361D67FF"/>
    <w:rsid w:val="36FD6C55"/>
    <w:rsid w:val="37621F23"/>
    <w:rsid w:val="37BF6F64"/>
    <w:rsid w:val="37D42E21"/>
    <w:rsid w:val="3836588A"/>
    <w:rsid w:val="38606463"/>
    <w:rsid w:val="38B14F10"/>
    <w:rsid w:val="38C74734"/>
    <w:rsid w:val="393C6ED0"/>
    <w:rsid w:val="394F018F"/>
    <w:rsid w:val="39B5458C"/>
    <w:rsid w:val="3A934624"/>
    <w:rsid w:val="3AAF3FCD"/>
    <w:rsid w:val="3ACF72AE"/>
    <w:rsid w:val="3B190B4B"/>
    <w:rsid w:val="3B6E0E96"/>
    <w:rsid w:val="3B844B5E"/>
    <w:rsid w:val="3CB71834"/>
    <w:rsid w:val="3D0A1093"/>
    <w:rsid w:val="3D6469F5"/>
    <w:rsid w:val="3EC05EAD"/>
    <w:rsid w:val="3F367F1D"/>
    <w:rsid w:val="3F5A7A9E"/>
    <w:rsid w:val="3F674CB6"/>
    <w:rsid w:val="3FCC6AD3"/>
    <w:rsid w:val="3FDE64B3"/>
    <w:rsid w:val="41016309"/>
    <w:rsid w:val="41432DC5"/>
    <w:rsid w:val="41E974C9"/>
    <w:rsid w:val="41F30347"/>
    <w:rsid w:val="42162288"/>
    <w:rsid w:val="437600FE"/>
    <w:rsid w:val="43A538C3"/>
    <w:rsid w:val="443864E5"/>
    <w:rsid w:val="44CB1108"/>
    <w:rsid w:val="4538077D"/>
    <w:rsid w:val="4556401B"/>
    <w:rsid w:val="45F36B68"/>
    <w:rsid w:val="468C14EB"/>
    <w:rsid w:val="46A14816"/>
    <w:rsid w:val="46E1485D"/>
    <w:rsid w:val="46E22739"/>
    <w:rsid w:val="46F33CD1"/>
    <w:rsid w:val="47590C4D"/>
    <w:rsid w:val="47A94056"/>
    <w:rsid w:val="480F1C53"/>
    <w:rsid w:val="482E032B"/>
    <w:rsid w:val="485D3817"/>
    <w:rsid w:val="486C0E54"/>
    <w:rsid w:val="487216E8"/>
    <w:rsid w:val="48E63C26"/>
    <w:rsid w:val="492F0B49"/>
    <w:rsid w:val="493C0826"/>
    <w:rsid w:val="4968161B"/>
    <w:rsid w:val="4A3414FD"/>
    <w:rsid w:val="4AD14F9E"/>
    <w:rsid w:val="4AD44F71"/>
    <w:rsid w:val="4AE03433"/>
    <w:rsid w:val="4B685203"/>
    <w:rsid w:val="4BC44B03"/>
    <w:rsid w:val="4D0C49B3"/>
    <w:rsid w:val="4D703FFF"/>
    <w:rsid w:val="4D73233C"/>
    <w:rsid w:val="4E6D3574"/>
    <w:rsid w:val="4E7A7D39"/>
    <w:rsid w:val="4E8011B5"/>
    <w:rsid w:val="4EFB2089"/>
    <w:rsid w:val="4F0771E0"/>
    <w:rsid w:val="4F2146B8"/>
    <w:rsid w:val="4F253B0A"/>
    <w:rsid w:val="4F2F3FA1"/>
    <w:rsid w:val="4F624D5E"/>
    <w:rsid w:val="4F674123"/>
    <w:rsid w:val="4FF82FCD"/>
    <w:rsid w:val="50146059"/>
    <w:rsid w:val="50441F68"/>
    <w:rsid w:val="50746AF7"/>
    <w:rsid w:val="51022355"/>
    <w:rsid w:val="51112598"/>
    <w:rsid w:val="51750D79"/>
    <w:rsid w:val="53C05F5A"/>
    <w:rsid w:val="541008E5"/>
    <w:rsid w:val="54216F96"/>
    <w:rsid w:val="5471046A"/>
    <w:rsid w:val="54FC355F"/>
    <w:rsid w:val="55053EE7"/>
    <w:rsid w:val="55597ADB"/>
    <w:rsid w:val="56625644"/>
    <w:rsid w:val="56F36D0D"/>
    <w:rsid w:val="570E431B"/>
    <w:rsid w:val="573009E7"/>
    <w:rsid w:val="573174F0"/>
    <w:rsid w:val="57AE6D93"/>
    <w:rsid w:val="57DB161B"/>
    <w:rsid w:val="582B090E"/>
    <w:rsid w:val="584512B8"/>
    <w:rsid w:val="58D345D7"/>
    <w:rsid w:val="59A0095D"/>
    <w:rsid w:val="59B166C6"/>
    <w:rsid w:val="59D23552"/>
    <w:rsid w:val="5A7D47FA"/>
    <w:rsid w:val="5AAE2C06"/>
    <w:rsid w:val="5AB87F28"/>
    <w:rsid w:val="5B750AF9"/>
    <w:rsid w:val="5B9462A0"/>
    <w:rsid w:val="5C2C472A"/>
    <w:rsid w:val="5C6043D4"/>
    <w:rsid w:val="5C841E70"/>
    <w:rsid w:val="5CAB1AF3"/>
    <w:rsid w:val="5CBC3D00"/>
    <w:rsid w:val="5D3C099D"/>
    <w:rsid w:val="5E1C691D"/>
    <w:rsid w:val="5E5D6E1D"/>
    <w:rsid w:val="5F816B3B"/>
    <w:rsid w:val="5FC52ECB"/>
    <w:rsid w:val="600608C4"/>
    <w:rsid w:val="60067040"/>
    <w:rsid w:val="604D0DD3"/>
    <w:rsid w:val="607945BC"/>
    <w:rsid w:val="60844B35"/>
    <w:rsid w:val="609B3C2C"/>
    <w:rsid w:val="60E41009"/>
    <w:rsid w:val="617050B9"/>
    <w:rsid w:val="61D145ED"/>
    <w:rsid w:val="61D20F2B"/>
    <w:rsid w:val="62137B25"/>
    <w:rsid w:val="62782477"/>
    <w:rsid w:val="628C5F22"/>
    <w:rsid w:val="6292739D"/>
    <w:rsid w:val="62946B85"/>
    <w:rsid w:val="62D376AD"/>
    <w:rsid w:val="62E03578"/>
    <w:rsid w:val="63414F5F"/>
    <w:rsid w:val="637160AB"/>
    <w:rsid w:val="63BC6393"/>
    <w:rsid w:val="64882719"/>
    <w:rsid w:val="65BC6B1F"/>
    <w:rsid w:val="65E44D4C"/>
    <w:rsid w:val="65F067C8"/>
    <w:rsid w:val="65F76563"/>
    <w:rsid w:val="66291CDA"/>
    <w:rsid w:val="66552ACF"/>
    <w:rsid w:val="667E5C15"/>
    <w:rsid w:val="668D6ECC"/>
    <w:rsid w:val="66A355E9"/>
    <w:rsid w:val="6739419F"/>
    <w:rsid w:val="675B4B07"/>
    <w:rsid w:val="677376B1"/>
    <w:rsid w:val="679B2764"/>
    <w:rsid w:val="68155815"/>
    <w:rsid w:val="691722BE"/>
    <w:rsid w:val="69BC750D"/>
    <w:rsid w:val="69E7708D"/>
    <w:rsid w:val="6A415844"/>
    <w:rsid w:val="6B3929BF"/>
    <w:rsid w:val="6C57134F"/>
    <w:rsid w:val="6C9F2CF6"/>
    <w:rsid w:val="6D1E00BF"/>
    <w:rsid w:val="6E006A52"/>
    <w:rsid w:val="6E0472B5"/>
    <w:rsid w:val="6EA939B8"/>
    <w:rsid w:val="6EAD16FA"/>
    <w:rsid w:val="6F5F177E"/>
    <w:rsid w:val="6F865AA7"/>
    <w:rsid w:val="6FC211D5"/>
    <w:rsid w:val="6FD97A1B"/>
    <w:rsid w:val="6FE32EFA"/>
    <w:rsid w:val="709E186B"/>
    <w:rsid w:val="70A1703D"/>
    <w:rsid w:val="70AF61D1"/>
    <w:rsid w:val="70BA3C5B"/>
    <w:rsid w:val="70C079E5"/>
    <w:rsid w:val="70CB21E7"/>
    <w:rsid w:val="70FA499F"/>
    <w:rsid w:val="714479C8"/>
    <w:rsid w:val="714D7E5F"/>
    <w:rsid w:val="716F713B"/>
    <w:rsid w:val="72DD6326"/>
    <w:rsid w:val="732E23F9"/>
    <w:rsid w:val="746D19CA"/>
    <w:rsid w:val="74CF1C9F"/>
    <w:rsid w:val="74D10EC7"/>
    <w:rsid w:val="757E170D"/>
    <w:rsid w:val="75970A0E"/>
    <w:rsid w:val="75DE3F93"/>
    <w:rsid w:val="76236746"/>
    <w:rsid w:val="76317F9B"/>
    <w:rsid w:val="76375D4D"/>
    <w:rsid w:val="76B86E8E"/>
    <w:rsid w:val="76EF1997"/>
    <w:rsid w:val="76FD6F97"/>
    <w:rsid w:val="770D4C48"/>
    <w:rsid w:val="77534E09"/>
    <w:rsid w:val="77F43101"/>
    <w:rsid w:val="78085BF3"/>
    <w:rsid w:val="7856695F"/>
    <w:rsid w:val="79314CD6"/>
    <w:rsid w:val="794C38BE"/>
    <w:rsid w:val="79996046"/>
    <w:rsid w:val="79C67FF1"/>
    <w:rsid w:val="7ABD3922"/>
    <w:rsid w:val="7AEA5A84"/>
    <w:rsid w:val="7B256ABC"/>
    <w:rsid w:val="7B79577B"/>
    <w:rsid w:val="7CE56BFB"/>
    <w:rsid w:val="7CFE1373"/>
    <w:rsid w:val="7D80447E"/>
    <w:rsid w:val="7DB83C18"/>
    <w:rsid w:val="7E0A649D"/>
    <w:rsid w:val="7EF97CE5"/>
    <w:rsid w:val="7F2D4191"/>
    <w:rsid w:val="7F517A47"/>
    <w:rsid w:val="7FA6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qFormat="1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仿宋_GB2312" w:hAnsi="Times New Roman" w:eastAsia="仿宋_GB2312" w:cs="Times New Roman"/>
      <w:szCs w:val="36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 w:eastAsia="宋体" w:cs="Arial"/>
      <w:sz w:val="24"/>
    </w:r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5">
    <w:name w:val="Balloon Text"/>
    <w:basedOn w:val="1"/>
    <w:link w:val="16"/>
    <w:unhideWhenUsed/>
    <w:qFormat/>
    <w:uiPriority w:val="99"/>
    <w:rPr>
      <w:sz w:val="18"/>
      <w:szCs w:val="18"/>
      <w:lang w:val="zh-CN" w:eastAsia="zh-CN"/>
    </w:rPr>
  </w:style>
  <w:style w:type="paragraph" w:styleId="6">
    <w:name w:val="footer"/>
    <w:basedOn w:val="1"/>
    <w:link w:val="17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  <w:lang w:val="zh-CN" w:eastAsia="zh-CN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8">
    <w:name w:val="index 9"/>
    <w:basedOn w:val="1"/>
    <w:next w:val="1"/>
    <w:unhideWhenUsed/>
    <w:qFormat/>
    <w:uiPriority w:val="99"/>
    <w:pPr>
      <w:spacing w:before="100" w:beforeAutospacing="1" w:after="100" w:afterAutospacing="1"/>
      <w:ind w:left="1600" w:leftChars="1600"/>
    </w:pPr>
  </w:style>
  <w:style w:type="paragraph" w:styleId="9">
    <w:name w:val="Normal (Web)"/>
    <w:basedOn w:val="1"/>
    <w:qFormat/>
    <w:uiPriority w:val="99"/>
    <w:pPr>
      <w:widowControl w:val="0"/>
      <w:spacing w:beforeAutospacing="1" w:afterAutospacing="1" w:line="360" w:lineRule="auto"/>
    </w:pPr>
    <w:rPr>
      <w:rFonts w:ascii="Calibri" w:hAnsi="Calibri" w:eastAsia="宋体"/>
      <w:sz w:val="24"/>
      <w:szCs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qFormat/>
    <w:uiPriority w:val="0"/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5">
    <w:name w:val="页眉 字符"/>
    <w:link w:val="7"/>
    <w:qFormat/>
    <w:uiPriority w:val="99"/>
    <w:rPr>
      <w:sz w:val="18"/>
      <w:szCs w:val="18"/>
    </w:rPr>
  </w:style>
  <w:style w:type="character" w:customStyle="1" w:styleId="16">
    <w:name w:val="批注框文本 字符"/>
    <w:link w:val="5"/>
    <w:semiHidden/>
    <w:qFormat/>
    <w:uiPriority w:val="99"/>
    <w:rPr>
      <w:sz w:val="18"/>
      <w:szCs w:val="18"/>
    </w:rPr>
  </w:style>
  <w:style w:type="character" w:customStyle="1" w:styleId="17">
    <w:name w:val="页脚 字符1"/>
    <w:link w:val="6"/>
    <w:qFormat/>
    <w:uiPriority w:val="0"/>
    <w:rPr>
      <w:sz w:val="18"/>
      <w:szCs w:val="18"/>
    </w:rPr>
  </w:style>
  <w:style w:type="paragraph" w:customStyle="1" w:styleId="18">
    <w:name w:val="p0"/>
    <w:basedOn w:val="1"/>
    <w:qFormat/>
    <w:uiPriority w:val="0"/>
    <w:pPr>
      <w:spacing w:before="100" w:beforeAutospacing="1" w:after="100" w:afterAutospacing="1" w:line="432" w:lineRule="atLeast"/>
    </w:pPr>
    <w:rPr>
      <w:rFonts w:ascii="宋体" w:hAnsi="宋体" w:eastAsia="宋体" w:cs="宋体"/>
      <w:sz w:val="24"/>
      <w:szCs w:val="24"/>
    </w:rPr>
  </w:style>
  <w:style w:type="paragraph" w:customStyle="1" w:styleId="19">
    <w:name w:val="普通(网站)1"/>
    <w:basedOn w:val="1"/>
    <w:qFormat/>
    <w:uiPriority w:val="0"/>
    <w:pPr>
      <w:spacing w:before="100" w:beforeAutospacing="1" w:after="100" w:afterAutospacing="1"/>
    </w:pPr>
    <w:rPr>
      <w:rFonts w:ascii="宋体" w:hAnsi="宋体" w:eastAsia="宋体"/>
      <w:sz w:val="24"/>
      <w:szCs w:val="22"/>
    </w:rPr>
  </w:style>
  <w:style w:type="paragraph" w:customStyle="1" w:styleId="20">
    <w:name w:val="列出段落1"/>
    <w:basedOn w:val="1"/>
    <w:qFormat/>
    <w:uiPriority w:val="0"/>
    <w:pPr>
      <w:widowControl w:val="0"/>
      <w:ind w:firstLine="420" w:firstLineChars="200"/>
      <w:jc w:val="both"/>
    </w:pPr>
    <w:rPr>
      <w:rFonts w:ascii="Times New Roman" w:eastAsia="宋体"/>
      <w:kern w:val="2"/>
      <w:sz w:val="21"/>
      <w:szCs w:val="21"/>
    </w:rPr>
  </w:style>
  <w:style w:type="character" w:customStyle="1" w:styleId="21">
    <w:name w:val="页脚 字符"/>
    <w:qFormat/>
    <w:uiPriority w:val="99"/>
    <w:rPr>
      <w:sz w:val="18"/>
      <w:szCs w:val="18"/>
    </w:rPr>
  </w:style>
  <w:style w:type="paragraph" w:customStyle="1" w:styleId="22">
    <w:name w:val="Other|1"/>
    <w:basedOn w:val="1"/>
    <w:qFormat/>
    <w:uiPriority w:val="0"/>
    <w:pPr>
      <w:widowControl w:val="0"/>
      <w:spacing w:line="410" w:lineRule="auto"/>
      <w:ind w:firstLine="400"/>
    </w:pPr>
    <w:rPr>
      <w:rFonts w:ascii="宋体" w:hAnsi="宋体" w:eastAsia="宋体" w:cs="宋体"/>
      <w:color w:val="000000"/>
      <w:sz w:val="30"/>
      <w:szCs w:val="30"/>
      <w:lang w:val="zh-TW" w:eastAsia="zh-TW" w:bidi="zh-TW"/>
    </w:rPr>
  </w:style>
  <w:style w:type="paragraph" w:customStyle="1" w:styleId="23">
    <w:name w:val="Body text|1"/>
    <w:basedOn w:val="1"/>
    <w:qFormat/>
    <w:uiPriority w:val="0"/>
    <w:pPr>
      <w:widowControl w:val="0"/>
      <w:spacing w:line="410" w:lineRule="auto"/>
      <w:ind w:firstLine="400"/>
    </w:pPr>
    <w:rPr>
      <w:rFonts w:ascii="宋体" w:hAnsi="宋体" w:eastAsia="宋体" w:cs="宋体"/>
      <w:color w:val="000000"/>
      <w:sz w:val="30"/>
      <w:szCs w:val="30"/>
      <w:lang w:val="zh-TW" w:eastAsia="zh-TW" w:bidi="zh-TW"/>
    </w:rPr>
  </w:style>
  <w:style w:type="paragraph" w:styleId="24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5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6">
    <w:name w:val="null5"/>
    <w:hidden/>
    <w:qFormat/>
    <w:uiPriority w:val="0"/>
    <w:rPr>
      <w:rFonts w:hint="eastAsia" w:asciiTheme="minorHAnsi" w:hAnsiTheme="minorHAnsi" w:eastAsiaTheme="minorEastAsia" w:cstheme="minorBidi"/>
      <w:lang w:val="en-US" w:eastAsia="zh-CN"/>
    </w:rPr>
  </w:style>
  <w:style w:type="paragraph" w:customStyle="1" w:styleId="27">
    <w:name w:val="Table Text"/>
    <w:basedOn w:val="1"/>
    <w:semiHidden/>
    <w:qFormat/>
    <w:uiPriority w:val="0"/>
    <w:rPr>
      <w:rFonts w:ascii="黑体" w:hAnsi="黑体" w:eastAsia="黑体" w:cs="黑体"/>
      <w:sz w:val="18"/>
      <w:szCs w:val="18"/>
      <w:lang w:val="en-US" w:eastAsia="en-US" w:bidi="ar-SA"/>
    </w:rPr>
  </w:style>
  <w:style w:type="table" w:customStyle="1" w:styleId="2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6A4480-D02E-4F5C-BB25-7D4A8B5C26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sdnu</Company>
  <Pages>8</Pages>
  <Words>2736</Words>
  <Characters>3099</Characters>
  <Lines>5</Lines>
  <Paragraphs>1</Paragraphs>
  <TotalTime>1</TotalTime>
  <ScaleCrop>false</ScaleCrop>
  <LinksUpToDate>false</LinksUpToDate>
  <CharactersWithSpaces>3185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2022-03-09T09:39:00Z</dcterms:created>
  <dc:creator>wangsong</dc:creator>
  <cp:lastModifiedBy>一如既往</cp:lastModifiedBy>
  <cp:lastPrinted>2019-06-19T06:00:00Z</cp:lastPrinted>
  <dcterms:modified xsi:type="dcterms:W3CDTF">2026-10-16T03:28:49Z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4D46764EAB284987BF7BCA5CBF7565E5_13</vt:lpwstr>
  </property>
  <property fmtid="{D5CDD505-2E9C-101B-9397-08002B2CF9AE}" pid="4" name="KSOTemplateDocerSaveRecord">
    <vt:lpwstr>eyJoZGlkIjoiZDBhN2QyNmEzZWZhNjg5ZGIzZTM5YjBjNGJmYjc3ZDMiLCJ1c2VySWQiOiIzNzY0NDAyMzcifQ==</vt:lpwstr>
  </property>
</Properties>
</file>