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F0DC7B">
      <w:pPr>
        <w:widowControl w:val="0"/>
        <w:overflowPunct w:val="0"/>
        <w:spacing w:line="360" w:lineRule="auto"/>
        <w:jc w:val="center"/>
        <w:textAlignment w:val="auto"/>
        <w:rPr>
          <w:rFonts w:hint="eastAsia" w:ascii="宋体" w:hAnsi="宋体" w:eastAsia="宋体" w:cs="宋体"/>
          <w:b/>
          <w:bCs/>
          <w:color w:val="auto"/>
          <w:spacing w:val="20"/>
          <w:sz w:val="40"/>
          <w:szCs w:val="40"/>
          <w:highlight w:val="none"/>
        </w:rPr>
      </w:pPr>
      <w:r>
        <w:rPr>
          <w:rFonts w:hint="eastAsia" w:ascii="宋体" w:hAnsi="宋体" w:eastAsia="宋体" w:cs="宋体"/>
          <w:b/>
          <w:bCs/>
          <w:color w:val="auto"/>
          <w:spacing w:val="20"/>
          <w:sz w:val="40"/>
          <w:szCs w:val="40"/>
          <w:highlight w:val="none"/>
        </w:rPr>
        <w:t>山东师范大学招标采购项目需求公示表</w:t>
      </w:r>
    </w:p>
    <w:p w14:paraId="1B47094B">
      <w:pPr>
        <w:rPr>
          <w:rFonts w:hint="default"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rPr>
        <w:t>编号:</w:t>
      </w:r>
      <w:r>
        <w:rPr>
          <w:rFonts w:hint="eastAsia" w:ascii="宋体" w:hAnsi="宋体" w:eastAsia="宋体" w:cs="宋体"/>
          <w:b/>
          <w:color w:val="auto"/>
          <w:sz w:val="24"/>
          <w:szCs w:val="24"/>
          <w:highlight w:val="none"/>
          <w:lang w:eastAsia="zh-CN"/>
        </w:rPr>
        <w:t>SDSL-202</w:t>
      </w:r>
      <w:r>
        <w:rPr>
          <w:rFonts w:hint="eastAsia" w:ascii="宋体" w:hAnsi="宋体" w:eastAsia="宋体" w:cs="宋体"/>
          <w:b/>
          <w:color w:val="auto"/>
          <w:sz w:val="24"/>
          <w:szCs w:val="24"/>
          <w:highlight w:val="none"/>
          <w:lang w:val="en-US" w:eastAsia="zh-CN"/>
        </w:rPr>
        <w:t>6-220</w:t>
      </w:r>
    </w:p>
    <w:tbl>
      <w:tblPr>
        <w:tblStyle w:val="8"/>
        <w:tblW w:w="13812" w:type="dxa"/>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61"/>
        <w:gridCol w:w="2584"/>
        <w:gridCol w:w="1119"/>
        <w:gridCol w:w="1827"/>
        <w:gridCol w:w="2126"/>
        <w:gridCol w:w="2605"/>
        <w:gridCol w:w="2790"/>
      </w:tblGrid>
      <w:tr w14:paraId="13C90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13812" w:type="dxa"/>
            <w:gridSpan w:val="7"/>
            <w:shd w:val="clear" w:color="auto" w:fill="FFFFFF"/>
            <w:vAlign w:val="center"/>
          </w:tcPr>
          <w:p w14:paraId="0F3C34FA">
            <w:pPr>
              <w:pStyle w:val="19"/>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b/>
                <w:bCs/>
                <w:color w:val="auto"/>
                <w:sz w:val="28"/>
                <w:szCs w:val="28"/>
                <w:highlight w:val="none"/>
              </w:rPr>
              <w:t>基本情况</w:t>
            </w:r>
          </w:p>
        </w:tc>
      </w:tr>
      <w:tr w14:paraId="73713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3345" w:type="dxa"/>
            <w:gridSpan w:val="2"/>
            <w:shd w:val="clear" w:color="auto" w:fill="FFFFFF"/>
            <w:vAlign w:val="center"/>
          </w:tcPr>
          <w:p w14:paraId="230B2D39">
            <w:pPr>
              <w:pStyle w:val="20"/>
              <w:keepNext w:val="0"/>
              <w:keepLines w:val="0"/>
              <w:pageBreakBefore w:val="0"/>
              <w:kinsoku/>
              <w:wordWrap/>
              <w:overflowPunct/>
              <w:topLinePunct w:val="0"/>
              <w:autoSpaceDE/>
              <w:autoSpaceDN/>
              <w:bidi w:val="0"/>
              <w:adjustRightInd/>
              <w:snapToGrid/>
              <w:spacing w:line="360" w:lineRule="exact"/>
              <w:ind w:left="0" w:leftChars="0" w:firstLine="0" w:firstLineChars="0"/>
              <w:textAlignment w:val="center"/>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rPr>
              <w:t>项目名称</w:t>
            </w:r>
          </w:p>
        </w:tc>
        <w:tc>
          <w:tcPr>
            <w:tcW w:w="10467" w:type="dxa"/>
            <w:gridSpan w:val="5"/>
            <w:shd w:val="clear" w:color="auto" w:fill="FFFFFF"/>
            <w:vAlign w:val="center"/>
          </w:tcPr>
          <w:p w14:paraId="7ED2AE2F">
            <w:pPr>
              <w:pStyle w:val="20"/>
              <w:overflowPunct w:val="0"/>
              <w:spacing w:line="400" w:lineRule="exact"/>
              <w:ind w:firstLine="0" w:firstLineChars="0"/>
              <w:jc w:val="both"/>
              <w:rPr>
                <w:rFonts w:hint="eastAsia" w:ascii="宋体" w:hAnsi="宋体" w:eastAsia="宋体" w:cs="宋体"/>
                <w:color w:val="auto"/>
                <w:sz w:val="24"/>
                <w:szCs w:val="24"/>
                <w:highlight w:val="none"/>
                <w:lang w:eastAsia="zh-CN"/>
              </w:rPr>
            </w:pPr>
            <w:r>
              <w:rPr>
                <w:rFonts w:hint="eastAsia"/>
                <w:bCs/>
                <w:color w:val="auto"/>
                <w:sz w:val="24"/>
                <w:highlight w:val="none"/>
                <w:lang w:eastAsia="zh-CN"/>
              </w:rPr>
              <w:t>山东师范大学2026年生命科学学院冲“一流学科”建设高校激光共聚焦显微镜项目</w:t>
            </w:r>
          </w:p>
        </w:tc>
      </w:tr>
      <w:tr w14:paraId="2BA13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3345" w:type="dxa"/>
            <w:gridSpan w:val="2"/>
            <w:shd w:val="clear" w:color="auto" w:fill="FFFFFF"/>
            <w:vAlign w:val="center"/>
          </w:tcPr>
          <w:p w14:paraId="584CF049">
            <w:pPr>
              <w:pStyle w:val="20"/>
              <w:keepNext w:val="0"/>
              <w:keepLines w:val="0"/>
              <w:pageBreakBefore w:val="0"/>
              <w:kinsoku/>
              <w:wordWrap/>
              <w:overflowPunct/>
              <w:topLinePunct w:val="0"/>
              <w:autoSpaceDE/>
              <w:autoSpaceDN/>
              <w:bidi w:val="0"/>
              <w:adjustRightInd/>
              <w:snapToGrid/>
              <w:spacing w:line="360" w:lineRule="exact"/>
              <w:ind w:left="0" w:leftChars="0" w:firstLine="0" w:firstLineChars="0"/>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项目主管单位</w:t>
            </w:r>
          </w:p>
        </w:tc>
        <w:tc>
          <w:tcPr>
            <w:tcW w:w="10467" w:type="dxa"/>
            <w:gridSpan w:val="5"/>
            <w:shd w:val="clear" w:color="auto" w:fill="FFFFFF"/>
            <w:vAlign w:val="center"/>
          </w:tcPr>
          <w:p w14:paraId="1AAAF5B7">
            <w:pPr>
              <w:pStyle w:val="20"/>
              <w:overflowPunct w:val="0"/>
              <w:spacing w:line="400" w:lineRule="exact"/>
              <w:ind w:firstLine="0" w:firstLineChars="0"/>
              <w:jc w:val="both"/>
              <w:rPr>
                <w:rFonts w:hint="eastAsia" w:ascii="宋体" w:hAnsi="宋体" w:eastAsia="宋体" w:cs="宋体"/>
                <w:color w:val="auto"/>
                <w:sz w:val="24"/>
                <w:szCs w:val="24"/>
                <w:highlight w:val="none"/>
                <w:lang w:eastAsia="zh-CN"/>
              </w:rPr>
            </w:pPr>
            <w:r>
              <w:rPr>
                <w:rFonts w:hint="eastAsia"/>
                <w:bCs/>
                <w:color w:val="auto"/>
                <w:sz w:val="24"/>
                <w:highlight w:val="none"/>
                <w:lang w:eastAsia="zh-CN"/>
              </w:rPr>
              <w:t>生命科学学院</w:t>
            </w:r>
          </w:p>
        </w:tc>
      </w:tr>
      <w:tr w14:paraId="2F318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3345" w:type="dxa"/>
            <w:gridSpan w:val="2"/>
            <w:shd w:val="clear" w:color="auto" w:fill="FFFFFF"/>
            <w:vAlign w:val="center"/>
          </w:tcPr>
          <w:p w14:paraId="627F65E3">
            <w:pPr>
              <w:pStyle w:val="20"/>
              <w:keepNext w:val="0"/>
              <w:keepLines w:val="0"/>
              <w:pageBreakBefore w:val="0"/>
              <w:kinsoku/>
              <w:wordWrap/>
              <w:overflowPunct/>
              <w:topLinePunct w:val="0"/>
              <w:autoSpaceDE/>
              <w:autoSpaceDN/>
              <w:bidi w:val="0"/>
              <w:adjustRightInd/>
              <w:snapToGrid/>
              <w:spacing w:line="360" w:lineRule="exact"/>
              <w:ind w:left="0" w:leftChars="0" w:firstLine="0" w:firstLineChars="0"/>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第三方咨询服务单位</w:t>
            </w:r>
          </w:p>
        </w:tc>
        <w:tc>
          <w:tcPr>
            <w:tcW w:w="10467" w:type="dxa"/>
            <w:gridSpan w:val="5"/>
            <w:shd w:val="clear" w:color="auto" w:fill="FFFFFF"/>
            <w:vAlign w:val="center"/>
          </w:tcPr>
          <w:p w14:paraId="4C7492D3">
            <w:pPr>
              <w:pStyle w:val="20"/>
              <w:overflowPunct w:val="0"/>
              <w:spacing w:line="400" w:lineRule="exact"/>
              <w:ind w:firstLine="0" w:firstLineChars="0"/>
              <w:jc w:val="both"/>
              <w:rPr>
                <w:rFonts w:hint="eastAsia" w:ascii="宋体" w:hAnsi="宋体" w:eastAsia="宋体" w:cs="宋体"/>
                <w:color w:val="auto"/>
                <w:sz w:val="24"/>
                <w:szCs w:val="24"/>
                <w:highlight w:val="none"/>
              </w:rPr>
            </w:pPr>
            <w:r>
              <w:rPr>
                <w:bCs/>
                <w:color w:val="auto"/>
                <w:sz w:val="24"/>
                <w:highlight w:val="none"/>
              </w:rPr>
              <w:t>山东善立招标有限公司</w:t>
            </w:r>
          </w:p>
        </w:tc>
      </w:tr>
      <w:tr w14:paraId="44B5B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13812" w:type="dxa"/>
            <w:gridSpan w:val="7"/>
            <w:shd w:val="clear" w:color="auto" w:fill="FFFFFF"/>
            <w:vAlign w:val="center"/>
          </w:tcPr>
          <w:p w14:paraId="1B4517FB">
            <w:pPr>
              <w:pStyle w:val="20"/>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center"/>
              <w:rPr>
                <w:rFonts w:hint="eastAsia" w:ascii="宋体" w:hAnsi="宋体" w:eastAsia="宋体" w:cs="宋体"/>
                <w:color w:val="auto"/>
                <w:sz w:val="24"/>
                <w:szCs w:val="24"/>
                <w:highlight w:val="none"/>
                <w:lang w:val="en-US" w:bidi="en-US"/>
              </w:rPr>
            </w:pPr>
            <w:r>
              <w:rPr>
                <w:rFonts w:hint="eastAsia" w:ascii="宋体" w:hAnsi="宋体" w:eastAsia="宋体" w:cs="宋体"/>
                <w:b/>
                <w:bCs/>
                <w:color w:val="auto"/>
                <w:sz w:val="28"/>
                <w:szCs w:val="28"/>
                <w:highlight w:val="none"/>
              </w:rPr>
              <w:t>项目信息</w:t>
            </w:r>
          </w:p>
        </w:tc>
      </w:tr>
      <w:tr w14:paraId="787BE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761" w:type="dxa"/>
            <w:shd w:val="clear" w:color="auto" w:fill="FFFFFF"/>
            <w:vAlign w:val="center"/>
          </w:tcPr>
          <w:p w14:paraId="096D39B9">
            <w:pPr>
              <w:pStyle w:val="19"/>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包号</w:t>
            </w:r>
          </w:p>
        </w:tc>
        <w:tc>
          <w:tcPr>
            <w:tcW w:w="2584" w:type="dxa"/>
            <w:shd w:val="clear" w:color="auto" w:fill="FFFFFF"/>
            <w:vAlign w:val="center"/>
          </w:tcPr>
          <w:p w14:paraId="3E4C30D2">
            <w:pPr>
              <w:pStyle w:val="19"/>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标的名称</w:t>
            </w:r>
          </w:p>
        </w:tc>
        <w:tc>
          <w:tcPr>
            <w:tcW w:w="1119" w:type="dxa"/>
            <w:shd w:val="clear" w:color="auto" w:fill="FFFFFF"/>
            <w:vAlign w:val="center"/>
          </w:tcPr>
          <w:p w14:paraId="0BF9AE20">
            <w:pPr>
              <w:pStyle w:val="19"/>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数量</w:t>
            </w:r>
          </w:p>
        </w:tc>
        <w:tc>
          <w:tcPr>
            <w:tcW w:w="1827" w:type="dxa"/>
            <w:shd w:val="clear" w:color="auto" w:fill="FFFFFF"/>
            <w:vAlign w:val="center"/>
          </w:tcPr>
          <w:p w14:paraId="0499C032">
            <w:pPr>
              <w:pStyle w:val="19"/>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是否</w:t>
            </w:r>
            <w:r>
              <w:rPr>
                <w:rFonts w:hint="eastAsia" w:ascii="宋体" w:hAnsi="宋体" w:eastAsia="宋体" w:cs="宋体"/>
                <w:b/>
                <w:bCs/>
                <w:color w:val="auto"/>
                <w:sz w:val="24"/>
                <w:szCs w:val="24"/>
                <w:highlight w:val="none"/>
                <w:lang w:val="en-US" w:eastAsia="zh-CN"/>
              </w:rPr>
              <w:t>允许</w:t>
            </w:r>
            <w:r>
              <w:rPr>
                <w:rFonts w:hint="eastAsia" w:ascii="宋体" w:hAnsi="宋体" w:eastAsia="宋体" w:cs="宋体"/>
                <w:b/>
                <w:bCs/>
                <w:color w:val="auto"/>
                <w:sz w:val="24"/>
                <w:szCs w:val="24"/>
                <w:highlight w:val="none"/>
              </w:rPr>
              <w:t>进口</w:t>
            </w:r>
          </w:p>
        </w:tc>
        <w:tc>
          <w:tcPr>
            <w:tcW w:w="2126" w:type="dxa"/>
            <w:shd w:val="clear" w:color="auto" w:fill="FFFFFF"/>
            <w:vAlign w:val="center"/>
          </w:tcPr>
          <w:p w14:paraId="4E53281B">
            <w:pPr>
              <w:pStyle w:val="19"/>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是否创新产品</w:t>
            </w:r>
          </w:p>
        </w:tc>
        <w:tc>
          <w:tcPr>
            <w:tcW w:w="2605" w:type="dxa"/>
            <w:shd w:val="clear" w:color="auto" w:fill="FFFFFF"/>
            <w:vAlign w:val="center"/>
          </w:tcPr>
          <w:p w14:paraId="6736731E">
            <w:pPr>
              <w:pStyle w:val="19"/>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是否专门面向中小微或预留份额</w:t>
            </w:r>
          </w:p>
        </w:tc>
        <w:tc>
          <w:tcPr>
            <w:tcW w:w="2790" w:type="dxa"/>
            <w:shd w:val="clear" w:color="auto" w:fill="FFFFFF"/>
            <w:vAlign w:val="center"/>
          </w:tcPr>
          <w:p w14:paraId="0D72643B">
            <w:pPr>
              <w:pStyle w:val="19"/>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预算金额（最高限价）</w:t>
            </w:r>
          </w:p>
        </w:tc>
      </w:tr>
      <w:tr w14:paraId="10227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5" w:hRule="atLeast"/>
        </w:trPr>
        <w:tc>
          <w:tcPr>
            <w:tcW w:w="761" w:type="dxa"/>
            <w:shd w:val="clear" w:color="auto" w:fill="FFFFFF"/>
            <w:vAlign w:val="center"/>
          </w:tcPr>
          <w:p w14:paraId="4E0DA656">
            <w:pPr>
              <w:keepNext w:val="0"/>
              <w:keepLines w:val="0"/>
              <w:pageBreakBefore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2584" w:type="dxa"/>
            <w:shd w:val="clear" w:color="auto" w:fill="FFFFFF"/>
            <w:vAlign w:val="center"/>
          </w:tcPr>
          <w:p w14:paraId="4C003AFE">
            <w:pPr>
              <w:widowControl/>
              <w:jc w:val="center"/>
              <w:textAlignment w:val="center"/>
              <w:rPr>
                <w:rFonts w:hint="eastAsia" w:ascii="宋体" w:hAnsi="宋体" w:eastAsia="宋体" w:cs="宋体"/>
                <w:b w:val="0"/>
                <w:bCs w:val="0"/>
                <w:color w:val="auto"/>
                <w:kern w:val="0"/>
                <w:sz w:val="24"/>
                <w:szCs w:val="24"/>
                <w:highlight w:val="none"/>
                <w:lang w:bidi="ar"/>
              </w:rPr>
            </w:pPr>
            <w:r>
              <w:rPr>
                <w:rFonts w:hint="eastAsia" w:ascii="宋体" w:hAnsi="宋体" w:eastAsia="宋体" w:cs="宋体"/>
                <w:b w:val="0"/>
                <w:bCs w:val="0"/>
                <w:color w:val="auto"/>
                <w:kern w:val="0"/>
                <w:sz w:val="24"/>
                <w:szCs w:val="24"/>
                <w:highlight w:val="none"/>
                <w:lang w:bidi="ar"/>
              </w:rPr>
              <w:t>共聚焦显微镜</w:t>
            </w:r>
          </w:p>
        </w:tc>
        <w:tc>
          <w:tcPr>
            <w:tcW w:w="1119" w:type="dxa"/>
            <w:shd w:val="clear" w:color="auto" w:fill="FFFFFF"/>
            <w:vAlign w:val="center"/>
          </w:tcPr>
          <w:p w14:paraId="031A16C6">
            <w:pPr>
              <w:widowControl/>
              <w:jc w:val="center"/>
              <w:textAlignment w:val="center"/>
              <w:rPr>
                <w:rFonts w:hint="default"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1</w:t>
            </w:r>
          </w:p>
        </w:tc>
        <w:tc>
          <w:tcPr>
            <w:tcW w:w="1827" w:type="dxa"/>
            <w:shd w:val="clear" w:color="auto" w:fill="FFFFFF"/>
            <w:vAlign w:val="center"/>
          </w:tcPr>
          <w:p w14:paraId="39D7EC0B">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bidi="ar"/>
              </w:rPr>
              <w:t>是</w:t>
            </w:r>
          </w:p>
        </w:tc>
        <w:tc>
          <w:tcPr>
            <w:tcW w:w="2126" w:type="dxa"/>
            <w:shd w:val="clear" w:color="auto" w:fill="FFFFFF"/>
            <w:vAlign w:val="center"/>
          </w:tcPr>
          <w:p w14:paraId="3B7F79D0">
            <w:pPr>
              <w:widowControl/>
              <w:jc w:val="center"/>
              <w:textAlignment w:val="center"/>
              <w:rPr>
                <w:rFonts w:hint="eastAsia" w:ascii="宋体" w:hAnsi="宋体" w:eastAsia="宋体" w:cs="宋体"/>
                <w:b w:val="0"/>
                <w:bCs w:val="0"/>
                <w:color w:val="auto"/>
                <w:kern w:val="0"/>
                <w:sz w:val="24"/>
                <w:szCs w:val="24"/>
                <w:highlight w:val="none"/>
                <w:lang w:bidi="ar"/>
              </w:rPr>
            </w:pPr>
            <w:r>
              <w:rPr>
                <w:rFonts w:hint="eastAsia" w:ascii="宋体" w:hAnsi="宋体" w:eastAsia="宋体" w:cs="宋体"/>
                <w:b w:val="0"/>
                <w:bCs w:val="0"/>
                <w:color w:val="auto"/>
                <w:kern w:val="0"/>
                <w:sz w:val="24"/>
                <w:szCs w:val="24"/>
                <w:highlight w:val="none"/>
                <w:lang w:bidi="ar"/>
              </w:rPr>
              <w:t>否</w:t>
            </w:r>
          </w:p>
        </w:tc>
        <w:tc>
          <w:tcPr>
            <w:tcW w:w="2605" w:type="dxa"/>
            <w:shd w:val="clear" w:color="auto" w:fill="FFFFFF"/>
            <w:vAlign w:val="center"/>
          </w:tcPr>
          <w:p w14:paraId="135BD399">
            <w:pPr>
              <w:widowControl/>
              <w:jc w:val="center"/>
              <w:textAlignment w:val="center"/>
              <w:rPr>
                <w:rFonts w:hint="eastAsia" w:ascii="宋体" w:hAnsi="宋体" w:eastAsia="宋体" w:cs="宋体"/>
                <w:b w:val="0"/>
                <w:bCs w:val="0"/>
                <w:color w:val="auto"/>
                <w:kern w:val="0"/>
                <w:sz w:val="24"/>
                <w:szCs w:val="24"/>
                <w:highlight w:val="none"/>
                <w:lang w:bidi="ar"/>
              </w:rPr>
            </w:pPr>
            <w:r>
              <w:rPr>
                <w:rFonts w:hint="eastAsia" w:ascii="宋体" w:hAnsi="宋体" w:eastAsia="宋体" w:cs="宋体"/>
                <w:b w:val="0"/>
                <w:bCs w:val="0"/>
                <w:color w:val="auto"/>
                <w:kern w:val="0"/>
                <w:sz w:val="24"/>
                <w:szCs w:val="24"/>
                <w:highlight w:val="none"/>
                <w:lang w:bidi="ar"/>
              </w:rPr>
              <w:t>否</w:t>
            </w:r>
          </w:p>
        </w:tc>
        <w:tc>
          <w:tcPr>
            <w:tcW w:w="2790" w:type="dxa"/>
            <w:shd w:val="clear" w:color="auto" w:fill="FFFFFF"/>
            <w:vAlign w:val="center"/>
          </w:tcPr>
          <w:p w14:paraId="49CEDC25">
            <w:pPr>
              <w:widowControl/>
              <w:jc w:val="center"/>
              <w:textAlignment w:val="center"/>
              <w:rPr>
                <w:rFonts w:hint="default"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336万元</w:t>
            </w:r>
          </w:p>
        </w:tc>
      </w:tr>
      <w:tr w14:paraId="3095F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13812" w:type="dxa"/>
            <w:gridSpan w:val="7"/>
            <w:shd w:val="clear" w:color="auto" w:fill="FFFFFF"/>
            <w:vAlign w:val="center"/>
          </w:tcPr>
          <w:p w14:paraId="2F1E1846">
            <w:pPr>
              <w:keepNext w:val="0"/>
              <w:keepLines w:val="0"/>
              <w:pageBreakBefore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rPr>
            </w:pPr>
            <w:r>
              <w:rPr>
                <w:rFonts w:hint="eastAsia" w:ascii="宋体" w:hAnsi="宋体" w:eastAsia="宋体" w:cs="宋体"/>
                <w:b/>
                <w:bCs/>
                <w:color w:val="auto"/>
                <w:sz w:val="28"/>
                <w:szCs w:val="28"/>
                <w:highlight w:val="none"/>
                <w:lang w:val="zh-TW" w:eastAsia="zh-TW" w:bidi="zh-TW"/>
              </w:rPr>
              <w:t>需求</w:t>
            </w:r>
            <w:r>
              <w:rPr>
                <w:rFonts w:hint="eastAsia" w:ascii="宋体" w:hAnsi="宋体" w:eastAsia="宋体" w:cs="宋体"/>
                <w:b/>
                <w:bCs/>
                <w:color w:val="auto"/>
                <w:sz w:val="28"/>
                <w:szCs w:val="28"/>
                <w:highlight w:val="none"/>
                <w:lang w:val="zh-TW" w:bidi="zh-TW"/>
              </w:rPr>
              <w:t>描述</w:t>
            </w:r>
          </w:p>
        </w:tc>
      </w:tr>
      <w:tr w14:paraId="2CDFE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3345" w:type="dxa"/>
            <w:gridSpan w:val="2"/>
            <w:shd w:val="clear" w:color="auto" w:fill="FFFFFF"/>
            <w:vAlign w:val="center"/>
          </w:tcPr>
          <w:p w14:paraId="04AA0036">
            <w:pPr>
              <w:spacing w:line="24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技术要求</w:t>
            </w:r>
          </w:p>
        </w:tc>
        <w:tc>
          <w:tcPr>
            <w:tcW w:w="10467" w:type="dxa"/>
            <w:gridSpan w:val="5"/>
            <w:shd w:val="clear" w:color="auto" w:fill="FFFFFF"/>
            <w:vAlign w:val="center"/>
          </w:tcPr>
          <w:p w14:paraId="08D6D5E3">
            <w:pPr>
              <w:pStyle w:val="2"/>
              <w:spacing w:line="360" w:lineRule="auto"/>
              <w:ind w:left="0" w:leftChars="0"/>
              <w:rPr>
                <w:rFonts w:hint="eastAsia" w:ascii="宋体" w:hAnsi="宋体" w:eastAsia="宋体" w:cs="宋体"/>
                <w:b/>
                <w:bCs/>
                <w:color w:val="auto"/>
                <w:sz w:val="24"/>
                <w:szCs w:val="24"/>
                <w:highlight w:val="none"/>
                <w:lang w:val="zh-CN" w:eastAsia="zh-CN" w:bidi="ar-SA"/>
              </w:rPr>
            </w:pPr>
            <w:r>
              <w:rPr>
                <w:rFonts w:hint="eastAsia" w:ascii="宋体" w:hAnsi="宋体" w:eastAsia="宋体" w:cs="宋体"/>
                <w:b/>
                <w:bCs/>
                <w:color w:val="auto"/>
                <w:sz w:val="24"/>
                <w:szCs w:val="24"/>
                <w:highlight w:val="none"/>
                <w:lang w:val="zh-CN" w:eastAsia="zh-CN" w:bidi="ar-SA"/>
              </w:rPr>
              <w:t>一、项目概况</w:t>
            </w:r>
          </w:p>
          <w:p w14:paraId="34D816C5">
            <w:pPr>
              <w:spacing w:line="360" w:lineRule="auto"/>
              <w:rPr>
                <w:rFonts w:hint="eastAsia" w:ascii="宋体" w:hAnsi="宋体" w:eastAsia="宋体" w:cs="宋体"/>
                <w:iCs/>
                <w:color w:val="auto"/>
                <w:sz w:val="24"/>
                <w:szCs w:val="24"/>
                <w:highlight w:val="none"/>
                <w:lang w:val="zh-CN"/>
              </w:rPr>
            </w:pPr>
            <w:r>
              <w:rPr>
                <w:rFonts w:hint="eastAsia" w:ascii="宋体" w:hAnsi="宋体" w:eastAsia="宋体" w:cs="宋体"/>
                <w:iCs/>
                <w:color w:val="auto"/>
                <w:sz w:val="24"/>
                <w:szCs w:val="24"/>
                <w:highlight w:val="none"/>
                <w:lang w:val="zh-CN"/>
              </w:rPr>
              <w:t>本项目为山东师范大学2026年生命科学学院冲“一流学科”建设高校激光共聚焦显微镜项目，</w:t>
            </w:r>
            <w:r>
              <w:rPr>
                <w:rFonts w:hint="eastAsia" w:ascii="宋体" w:hAnsi="宋体" w:eastAsia="宋体" w:cs="宋体"/>
                <w:iCs/>
                <w:color w:val="auto"/>
                <w:sz w:val="24"/>
                <w:szCs w:val="24"/>
                <w:highlight w:val="none"/>
                <w:lang w:val="en-US" w:eastAsia="zh-CN"/>
              </w:rPr>
              <w:t>总</w:t>
            </w:r>
            <w:r>
              <w:rPr>
                <w:rFonts w:hint="eastAsia" w:ascii="宋体" w:hAnsi="宋体" w:eastAsia="宋体" w:cs="宋体"/>
                <w:iCs/>
                <w:color w:val="auto"/>
                <w:sz w:val="24"/>
                <w:szCs w:val="24"/>
                <w:highlight w:val="none"/>
                <w:lang w:val="zh-CN"/>
              </w:rPr>
              <w:t>预算</w:t>
            </w:r>
            <w:r>
              <w:rPr>
                <w:rFonts w:hint="eastAsia" w:ascii="宋体" w:hAnsi="宋体" w:eastAsia="宋体" w:cs="宋体"/>
                <w:color w:val="auto"/>
                <w:sz w:val="24"/>
                <w:szCs w:val="24"/>
                <w:highlight w:val="none"/>
                <w:lang w:val="en-US" w:eastAsia="zh-CN"/>
              </w:rPr>
              <w:t>336万元</w:t>
            </w:r>
            <w:r>
              <w:rPr>
                <w:rFonts w:hint="eastAsia" w:ascii="宋体" w:hAnsi="宋体" w:eastAsia="宋体" w:cs="宋体"/>
                <w:iCs/>
                <w:color w:val="auto"/>
                <w:sz w:val="24"/>
                <w:szCs w:val="24"/>
                <w:highlight w:val="none"/>
                <w:lang w:val="zh-CN"/>
              </w:rPr>
              <w:t>。</w:t>
            </w:r>
          </w:p>
          <w:p w14:paraId="60EE4AF9">
            <w:pP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zh-CN"/>
              </w:rPr>
              <w:t>二、技术要求</w:t>
            </w:r>
            <w:r>
              <w:rPr>
                <w:rFonts w:hint="eastAsia" w:ascii="宋体" w:hAnsi="宋体" w:eastAsia="宋体" w:cs="宋体"/>
                <w:b/>
                <w:bCs/>
                <w:color w:val="auto"/>
                <w:sz w:val="24"/>
                <w:szCs w:val="24"/>
                <w:highlight w:val="none"/>
              </w:rPr>
              <w:t xml:space="preserve"> </w:t>
            </w:r>
          </w:p>
          <w:p w14:paraId="30BF1045">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详见附件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详细技术要求。</w:t>
            </w:r>
          </w:p>
        </w:tc>
      </w:tr>
      <w:tr w14:paraId="79D88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3345" w:type="dxa"/>
            <w:gridSpan w:val="2"/>
            <w:shd w:val="clear" w:color="auto" w:fill="FFFFFF"/>
            <w:vAlign w:val="center"/>
          </w:tcPr>
          <w:p w14:paraId="25313CC1">
            <w:pPr>
              <w:spacing w:line="24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商务要求</w:t>
            </w:r>
          </w:p>
        </w:tc>
        <w:tc>
          <w:tcPr>
            <w:tcW w:w="10467" w:type="dxa"/>
            <w:gridSpan w:val="5"/>
            <w:shd w:val="clear" w:color="auto" w:fill="FFFFFF"/>
            <w:vAlign w:val="center"/>
          </w:tcPr>
          <w:p w14:paraId="0745BF33">
            <w:pPr>
              <w:numPr>
                <w:ilvl w:val="0"/>
                <w:numId w:val="1"/>
              </w:num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rPr>
              <w:t>交货期</w:t>
            </w:r>
            <w:r>
              <w:rPr>
                <w:rFonts w:hint="eastAsia" w:ascii="宋体" w:hAnsi="宋体" w:eastAsia="宋体" w:cs="宋体"/>
                <w:color w:val="auto"/>
                <w:sz w:val="24"/>
                <w:szCs w:val="24"/>
                <w:highlight w:val="none"/>
              </w:rPr>
              <w:t>：</w:t>
            </w:r>
          </w:p>
          <w:p w14:paraId="5A2627E2">
            <w:pPr>
              <w:numPr>
                <w:ilvl w:val="0"/>
                <w:numId w:val="0"/>
              </w:num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国产设备自合同签订之日起</w:t>
            </w:r>
            <w:r>
              <w:rPr>
                <w:rFonts w:hint="eastAsia" w:ascii="宋体" w:hAnsi="宋体" w:eastAsia="宋体" w:cs="宋体"/>
                <w:color w:val="auto"/>
                <w:sz w:val="24"/>
                <w:szCs w:val="24"/>
                <w:highlight w:val="none"/>
                <w:lang w:val="en-US" w:eastAsia="zh-CN"/>
              </w:rPr>
              <w:t>1个月</w:t>
            </w:r>
            <w:r>
              <w:rPr>
                <w:rFonts w:hint="eastAsia" w:ascii="宋体" w:hAnsi="宋体" w:eastAsia="宋体" w:cs="宋体"/>
                <w:color w:val="auto"/>
                <w:sz w:val="24"/>
                <w:szCs w:val="24"/>
                <w:highlight w:val="none"/>
              </w:rPr>
              <w:t>内供货安装调试完毕；进口设备自合同签订之日起</w:t>
            </w:r>
            <w:r>
              <w:rPr>
                <w:rFonts w:hint="eastAsia" w:ascii="宋体" w:hAnsi="宋体" w:eastAsia="宋体" w:cs="宋体"/>
                <w:color w:val="auto"/>
                <w:sz w:val="24"/>
                <w:szCs w:val="24"/>
                <w:highlight w:val="none"/>
                <w:lang w:val="en-US" w:eastAsia="zh-CN"/>
              </w:rPr>
              <w:t>3个月</w:t>
            </w:r>
            <w:r>
              <w:rPr>
                <w:rFonts w:hint="eastAsia" w:ascii="宋体" w:hAnsi="宋体" w:eastAsia="宋体" w:cs="宋体"/>
                <w:color w:val="auto"/>
                <w:sz w:val="24"/>
                <w:szCs w:val="24"/>
                <w:highlight w:val="none"/>
              </w:rPr>
              <w:t>内供货安装调试完毕。</w:t>
            </w:r>
          </w:p>
          <w:p w14:paraId="790C834C">
            <w:pPr>
              <w:spacing w:line="360" w:lineRule="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2、交付地点</w:t>
            </w:r>
            <w:r>
              <w:rPr>
                <w:rFonts w:hint="eastAsia" w:ascii="宋体" w:hAnsi="宋体" w:eastAsia="宋体" w:cs="宋体"/>
                <w:color w:val="auto"/>
                <w:sz w:val="24"/>
                <w:szCs w:val="24"/>
                <w:highlight w:val="none"/>
              </w:rPr>
              <w:t>：设备全部到达山东师范大学校内指定地点。</w:t>
            </w:r>
          </w:p>
          <w:p w14:paraId="70160167">
            <w:pP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3、付款条件：</w:t>
            </w:r>
          </w:p>
          <w:p w14:paraId="54954F8E">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国产设备：</w:t>
            </w:r>
            <w:r>
              <w:rPr>
                <w:rFonts w:hint="eastAsia" w:ascii="宋体" w:hAnsi="宋体" w:eastAsia="宋体" w:cs="宋体"/>
                <w:color w:val="auto"/>
                <w:sz w:val="24"/>
                <w:szCs w:val="24"/>
                <w:highlight w:val="none"/>
                <w:lang w:val="en-US" w:eastAsia="zh-CN"/>
              </w:rPr>
              <w:t>中标人供货并安装调试完成，使用单位初步验收合格后支付合同价款的60%；经招标人验收合格后，招标人支付至合同价款的100%。</w:t>
            </w:r>
          </w:p>
          <w:p w14:paraId="14C62B22">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进口设备：</w:t>
            </w:r>
          </w:p>
          <w:p w14:paraId="27D1142D">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1）经招标人归口管理部门备案同意，具有外贸代理业务能力的中标人：</w:t>
            </w:r>
          </w:p>
          <w:p w14:paraId="53F60FA0">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中标人供货并安装调试完成，使用单位初步验收合格后支付合同价款的60%；经招标人验收合格后，招标人支付至合同价款的100%。</w:t>
            </w:r>
          </w:p>
          <w:p w14:paraId="5CC3477F">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2）由招标人指定外贸代理公司的中标人：</w:t>
            </w:r>
          </w:p>
          <w:p w14:paraId="0669BCD6">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方合同生效后，招标人预付合同金额100%货款给乙方（外贸代理公司），乙方与进口设备制造商签订外贸合同，并按照中标金额的百分比（中标确定）计取外贸代理服务费，丙方（中标人）承担所有外贸风险。乙方开具以丙方指定的进口设备制造商为受益人的100%不可撤销即期信用证，凭发货单据支付丙方合同金额的90%，剩余10%凭学校出具的验收报告支付。</w:t>
            </w:r>
          </w:p>
          <w:p w14:paraId="2AA95083">
            <w:pPr>
              <w:spacing w:line="360" w:lineRule="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4、验收</w:t>
            </w:r>
            <w:r>
              <w:rPr>
                <w:rFonts w:hint="eastAsia" w:ascii="宋体" w:hAnsi="宋体" w:eastAsia="宋体" w:cs="宋体"/>
                <w:color w:val="auto"/>
                <w:sz w:val="24"/>
                <w:szCs w:val="24"/>
                <w:highlight w:val="none"/>
              </w:rPr>
              <w:t>：</w:t>
            </w:r>
          </w:p>
          <w:p w14:paraId="2FEF6FCF">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招标人</w:t>
            </w:r>
            <w:r>
              <w:rPr>
                <w:rFonts w:hint="eastAsia" w:ascii="宋体" w:hAnsi="宋体" w:eastAsia="宋体" w:cs="宋体"/>
                <w:color w:val="auto"/>
                <w:sz w:val="24"/>
                <w:szCs w:val="24"/>
                <w:highlight w:val="none"/>
              </w:rPr>
              <w:t>根据《山东省财政厅关于进一步加强政府采购履约验收工作的指导意见》及</w:t>
            </w:r>
            <w:r>
              <w:rPr>
                <w:rFonts w:hint="eastAsia" w:ascii="宋体" w:hAnsi="宋体" w:eastAsia="宋体" w:cs="宋体"/>
                <w:color w:val="auto"/>
                <w:sz w:val="24"/>
                <w:szCs w:val="24"/>
                <w:highlight w:val="none"/>
                <w:lang w:val="en-US" w:eastAsia="zh-CN"/>
              </w:rPr>
              <w:t>招标人</w:t>
            </w:r>
            <w:r>
              <w:rPr>
                <w:rFonts w:hint="eastAsia" w:ascii="宋体" w:hAnsi="宋体" w:eastAsia="宋体" w:cs="宋体"/>
                <w:color w:val="auto"/>
                <w:sz w:val="24"/>
                <w:szCs w:val="24"/>
                <w:highlight w:val="none"/>
              </w:rPr>
              <w:t>要求进行验收。</w:t>
            </w:r>
          </w:p>
          <w:p w14:paraId="750C8513">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4.1货物运抵现场后，</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将对货物数量、质量、规格等进行检验。如发现货物和规格或者两者都与招标文件、投标文件、合同不符，</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有权限根据检验结果要求中标人立即更换或者提出索赔要求。</w:t>
            </w:r>
          </w:p>
          <w:p w14:paraId="7C5A0EE7">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4.2货物由中标人进行安装，完毕后，</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应对货物的数量、质量、规格、性能等进行详细而全面的检验。安装完毕7日后，证明货物以及安装质量无任何问题，由</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组成的验收小组签署验收报告，作为付款凭据之一。</w:t>
            </w:r>
          </w:p>
          <w:p w14:paraId="25FAAE6D">
            <w:pPr>
              <w:spacing w:line="360" w:lineRule="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5、质量保证期</w:t>
            </w:r>
            <w:r>
              <w:rPr>
                <w:rFonts w:hint="eastAsia" w:ascii="宋体" w:hAnsi="宋体" w:eastAsia="宋体" w:cs="宋体"/>
                <w:color w:val="auto"/>
                <w:sz w:val="24"/>
                <w:szCs w:val="24"/>
                <w:highlight w:val="none"/>
              </w:rPr>
              <w:t>：</w:t>
            </w:r>
          </w:p>
          <w:p w14:paraId="1D0264D7">
            <w:pPr>
              <w:spacing w:line="360" w:lineRule="auto"/>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5.1质保期：国产设备原厂质保3年</w:t>
            </w:r>
            <w:r>
              <w:rPr>
                <w:rFonts w:hint="eastAsia" w:ascii="宋体" w:hAnsi="宋体" w:eastAsia="宋体" w:cs="宋体"/>
                <w:color w:val="auto"/>
                <w:sz w:val="24"/>
                <w:szCs w:val="24"/>
                <w:highlight w:val="none"/>
                <w:lang w:val="en-US" w:eastAsia="zh-CN"/>
              </w:rPr>
              <w:t>。进口</w:t>
            </w:r>
            <w:r>
              <w:rPr>
                <w:rFonts w:hint="eastAsia" w:ascii="宋体" w:hAnsi="宋体" w:eastAsia="宋体" w:cs="宋体"/>
                <w:color w:val="auto"/>
                <w:sz w:val="24"/>
                <w:szCs w:val="24"/>
                <w:highlight w:val="none"/>
              </w:rPr>
              <w:t>设备原厂质保</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年（清单技术规格要求中有要求的按照清单要求执行）。国家主管部门或者行业标准对货物本身有更高要求的，从其规定并在合同中约定，投标人亦可提报更长的质保期，质保及售后须注明质保主体（原厂或投标人）。</w:t>
            </w:r>
          </w:p>
          <w:p w14:paraId="32B347C0">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质量保证期内，如果证实货物是有缺陷的，包括潜在的缺陷或者使用不符合要求的材料等，中标人应立即免费维修或者更换有缺陷的货物或者部件，保证达到合同规定的技术以及性能要求。如果中标人在收到通知后5天内没有弥补缺陷，</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可自行采取必要的补救措施，但风险和费用由中标人承担，</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同时保留通过法律途径进行索赔的权利。</w:t>
            </w:r>
          </w:p>
          <w:p w14:paraId="4DF692AF">
            <w:pPr>
              <w:spacing w:line="360" w:lineRule="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6、售后服务</w:t>
            </w:r>
            <w:r>
              <w:rPr>
                <w:rFonts w:hint="eastAsia" w:ascii="宋体" w:hAnsi="宋体" w:eastAsia="宋体" w:cs="宋体"/>
                <w:color w:val="auto"/>
                <w:sz w:val="24"/>
                <w:szCs w:val="24"/>
                <w:highlight w:val="none"/>
              </w:rPr>
              <w:t>：</w:t>
            </w:r>
          </w:p>
          <w:p w14:paraId="0766353F">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6.1投标人应提供及时周到的售后服务，应保证每季度至少一次上门回访、检修。</w:t>
            </w:r>
          </w:p>
          <w:p w14:paraId="7715540D">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6.2投标人自报响应、维修时间以及备品备件情况。</w:t>
            </w:r>
          </w:p>
          <w:p w14:paraId="11503F3A">
            <w:pPr>
              <w:pStyle w:val="22"/>
              <w:numPr>
                <w:ilvl w:val="0"/>
                <w:numId w:val="0"/>
              </w:numP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7、</w:t>
            </w:r>
            <w:r>
              <w:rPr>
                <w:rFonts w:hint="eastAsia" w:ascii="宋体" w:hAnsi="宋体" w:eastAsia="宋体" w:cs="宋体"/>
                <w:b/>
                <w:bCs/>
                <w:color w:val="auto"/>
                <w:sz w:val="24"/>
                <w:szCs w:val="24"/>
                <w:highlight w:val="none"/>
              </w:rPr>
              <w:t>培训</w:t>
            </w:r>
          </w:p>
          <w:p w14:paraId="12F72354">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投标人提供技术培训，包括</w:t>
            </w:r>
            <w:r>
              <w:rPr>
                <w:rFonts w:hint="eastAsia" w:ascii="宋体" w:hAnsi="宋体" w:eastAsia="宋体" w:cs="宋体"/>
                <w:color w:val="auto"/>
                <w:sz w:val="24"/>
                <w:szCs w:val="24"/>
                <w:highlight w:val="none"/>
                <w:lang w:val="en-US" w:eastAsia="zh-CN"/>
              </w:rPr>
              <w:t>设备</w:t>
            </w:r>
            <w:r>
              <w:rPr>
                <w:rFonts w:hint="eastAsia" w:ascii="宋体" w:hAnsi="宋体" w:eastAsia="宋体" w:cs="宋体"/>
                <w:color w:val="auto"/>
                <w:sz w:val="24"/>
                <w:szCs w:val="24"/>
                <w:highlight w:val="none"/>
              </w:rPr>
              <w:t>使用维护、工作原理、基本操作</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常见故障处理等。</w:t>
            </w:r>
          </w:p>
          <w:p w14:paraId="0B6E027A">
            <w:pPr>
              <w:pStyle w:val="22"/>
              <w:numPr>
                <w:ilvl w:val="0"/>
                <w:numId w:val="0"/>
              </w:numPr>
              <w:spacing w:line="360" w:lineRule="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8、设备安装要求</w:t>
            </w:r>
          </w:p>
          <w:p w14:paraId="17FD49CF">
            <w:pPr>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 xml:space="preserve">本项目为交钥匙项目，中标人需在到货前先行勘查用户仪器放置场地，并负责场地湿度/温度/避光/防尘/防震/通风/接地等环境满足仪器安装要求。到货后由中标人技术人员到现场免费进行安装调试，安装过程中所涉及水电、通风、防尘、避光等均由中标人负责，需保证设备在调试及试运行后应达到承诺的技术指标。 </w:t>
            </w:r>
          </w:p>
        </w:tc>
      </w:tr>
      <w:tr w14:paraId="59BA6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3345" w:type="dxa"/>
            <w:gridSpan w:val="2"/>
            <w:shd w:val="clear" w:color="auto" w:fill="FFFFFF"/>
            <w:vAlign w:val="center"/>
          </w:tcPr>
          <w:p w14:paraId="03D708EC">
            <w:pPr>
              <w:spacing w:line="24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政策要求</w:t>
            </w:r>
          </w:p>
        </w:tc>
        <w:tc>
          <w:tcPr>
            <w:tcW w:w="10467" w:type="dxa"/>
            <w:gridSpan w:val="5"/>
            <w:shd w:val="clear" w:color="auto" w:fill="FFFFFF"/>
            <w:vAlign w:val="center"/>
          </w:tcPr>
          <w:p w14:paraId="6B7DF204">
            <w:pPr>
              <w:pStyle w:val="2"/>
              <w:spacing w:line="360" w:lineRule="auto"/>
              <w:ind w:left="0" w:leftChars="0" w:firstLine="0" w:firstLineChars="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严格落实财政部、工业和信息化部《政府采购促进中小企业发展管理办法》（财库〔2020〕46号）、《财政部 司法部关于政府采购支持监狱企业发展有关问题的通知》（财库〔2014〕68号）、《关于促进残疾人就业政府采购政策的通知》（财库[2017]141号）、《关于进一步发挥政府采购政策功能支持中小企业发展的通知》、《关于调整优化节能产品、环境标志产品政府采购执行机制的通知》、《关于印发节能产品政府采购品目清单的通知》、《关于印发环境标志产品政府采购品目清单的通知》</w:t>
            </w:r>
            <w:r>
              <w:rPr>
                <w:rFonts w:hint="eastAsia" w:ascii="宋体" w:hAnsi="宋体" w:eastAsia="宋体" w:cs="宋体"/>
                <w:color w:val="auto"/>
                <w:sz w:val="24"/>
                <w:szCs w:val="24"/>
                <w:highlight w:val="none"/>
                <w:lang w:val="en-US" w:eastAsia="zh-CN"/>
              </w:rPr>
              <w:t>本国产品政策、</w:t>
            </w:r>
            <w:r>
              <w:rPr>
                <w:rFonts w:hint="eastAsia" w:ascii="宋体" w:hAnsi="宋体" w:eastAsia="宋体" w:cs="宋体"/>
                <w:color w:val="auto"/>
                <w:sz w:val="24"/>
                <w:szCs w:val="24"/>
                <w:highlight w:val="none"/>
                <w:lang w:val="zh-CN"/>
              </w:rPr>
              <w:t>采购绿色建材、推广节能建筑等</w:t>
            </w:r>
            <w:r>
              <w:rPr>
                <w:rFonts w:hint="eastAsia" w:ascii="宋体" w:hAnsi="宋体" w:eastAsia="宋体" w:cs="宋体"/>
                <w:color w:val="auto"/>
                <w:sz w:val="24"/>
                <w:szCs w:val="24"/>
                <w:highlight w:val="none"/>
              </w:rPr>
              <w:t>国家最新</w:t>
            </w:r>
            <w:r>
              <w:rPr>
                <w:rFonts w:hint="eastAsia" w:ascii="宋体" w:hAnsi="宋体" w:eastAsia="宋体" w:cs="宋体"/>
                <w:color w:val="auto"/>
                <w:sz w:val="24"/>
                <w:szCs w:val="24"/>
                <w:highlight w:val="none"/>
                <w:lang w:val="zh-CN"/>
              </w:rPr>
              <w:t>政府采购政策。</w:t>
            </w:r>
          </w:p>
        </w:tc>
      </w:tr>
      <w:tr w14:paraId="53A36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3345" w:type="dxa"/>
            <w:gridSpan w:val="2"/>
            <w:shd w:val="clear" w:color="auto" w:fill="FFFFFF"/>
            <w:vAlign w:val="center"/>
          </w:tcPr>
          <w:p w14:paraId="5F9C60EB">
            <w:pPr>
              <w:spacing w:line="24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绩效目标</w:t>
            </w:r>
          </w:p>
        </w:tc>
        <w:tc>
          <w:tcPr>
            <w:tcW w:w="10467" w:type="dxa"/>
            <w:gridSpan w:val="5"/>
            <w:shd w:val="clear" w:color="auto" w:fill="FFFFFF"/>
            <w:vAlign w:val="center"/>
          </w:tcPr>
          <w:p w14:paraId="3718F608">
            <w:pPr>
              <w:pStyle w:val="2"/>
              <w:spacing w:line="360" w:lineRule="auto"/>
              <w:ind w:left="0" w:leftChars="0" w:firstLine="0" w:firstLine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 xml:space="preserve"> 解决各类组织特别是活体样品的高质量以及超高分辨率的光学切片图像，进行各类亚细胞结构和功能研究，物理化学信息测定，分子的动力学信息获取，细胞间通讯等方面的实验难题。</w:t>
            </w:r>
          </w:p>
        </w:tc>
      </w:tr>
      <w:tr w14:paraId="48A95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3345" w:type="dxa"/>
            <w:gridSpan w:val="2"/>
            <w:shd w:val="clear" w:color="auto" w:fill="FFFFFF"/>
            <w:vAlign w:val="center"/>
          </w:tcPr>
          <w:p w14:paraId="3E237FFE">
            <w:pPr>
              <w:spacing w:line="24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其他要求</w:t>
            </w:r>
          </w:p>
        </w:tc>
        <w:tc>
          <w:tcPr>
            <w:tcW w:w="10467" w:type="dxa"/>
            <w:gridSpan w:val="5"/>
            <w:shd w:val="clear" w:color="auto" w:fill="FFFFFF"/>
            <w:vAlign w:val="center"/>
          </w:tcPr>
          <w:p w14:paraId="1964C341">
            <w:pP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投标人资格要求：</w:t>
            </w:r>
          </w:p>
          <w:p w14:paraId="14DA3CFC">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（1）符合《中华人民共和国政府采购法》第二十二条的规定。</w:t>
            </w:r>
          </w:p>
          <w:p w14:paraId="1AE3166D">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落实政府采购政策需满足的资格要求：无</w:t>
            </w:r>
          </w:p>
          <w:p w14:paraId="02BA52A0">
            <w:pPr>
              <w:spacing w:line="360" w:lineRule="auto"/>
              <w:rPr>
                <w:rFonts w:hint="eastAsia"/>
                <w:color w:val="auto"/>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本项目的特定资格要求：如所投产品为进口产品，投标</w:t>
            </w:r>
            <w:r>
              <w:rPr>
                <w:rFonts w:hint="eastAsia" w:ascii="宋体" w:hAnsi="宋体" w:eastAsia="宋体" w:cs="宋体"/>
                <w:color w:val="auto"/>
                <w:sz w:val="24"/>
                <w:szCs w:val="24"/>
                <w:highlight w:val="none"/>
                <w:lang w:val="en-US" w:eastAsia="zh-CN"/>
              </w:rPr>
              <w:t>人</w:t>
            </w:r>
            <w:r>
              <w:rPr>
                <w:rFonts w:hint="eastAsia" w:ascii="宋体" w:hAnsi="宋体" w:eastAsia="宋体" w:cs="宋体"/>
                <w:color w:val="auto"/>
                <w:sz w:val="24"/>
                <w:szCs w:val="24"/>
                <w:highlight w:val="none"/>
              </w:rPr>
              <w:t>须提供制造商或国内总代理出具的授权书（授权可追溯）。</w:t>
            </w:r>
          </w:p>
        </w:tc>
      </w:tr>
    </w:tbl>
    <w:p w14:paraId="1510BBDE">
      <w:pPr>
        <w:spacing w:line="360" w:lineRule="auto"/>
        <w:rPr>
          <w:rFonts w:hint="eastAsia" w:ascii="宋体" w:hAnsi="宋体" w:eastAsia="宋体" w:cs="宋体"/>
          <w:b/>
          <w:bCs/>
          <w:color w:val="auto"/>
          <w:sz w:val="28"/>
          <w:szCs w:val="28"/>
          <w:highlight w:val="none"/>
        </w:rPr>
      </w:pPr>
    </w:p>
    <w:p w14:paraId="2BF310AD">
      <w:pPr>
        <w:spacing w:line="360" w:lineRule="auto"/>
        <w:rPr>
          <w:rFonts w:hint="eastAsia" w:ascii="宋体" w:hAnsi="宋体" w:eastAsia="宋体" w:cs="宋体"/>
          <w:b/>
          <w:bCs/>
          <w:color w:val="auto"/>
          <w:sz w:val="28"/>
          <w:szCs w:val="28"/>
          <w:highlight w:val="none"/>
        </w:rPr>
      </w:pPr>
    </w:p>
    <w:p w14:paraId="38ADD40D">
      <w:pPr>
        <w:spacing w:line="360" w:lineRule="auto"/>
        <w:rPr>
          <w:rFonts w:hint="eastAsia" w:ascii="宋体" w:hAnsi="宋体" w:eastAsia="宋体" w:cs="宋体"/>
          <w:b/>
          <w:bCs/>
          <w:color w:val="auto"/>
          <w:sz w:val="28"/>
          <w:szCs w:val="28"/>
          <w:highlight w:val="none"/>
        </w:rPr>
      </w:pPr>
      <w:bookmarkStart w:id="0" w:name="_GoBack"/>
      <w:bookmarkEnd w:id="0"/>
      <w:r>
        <w:rPr>
          <w:rFonts w:hint="eastAsia" w:ascii="宋体" w:hAnsi="宋体" w:eastAsia="宋体" w:cs="宋体"/>
          <w:b/>
          <w:bCs/>
          <w:color w:val="auto"/>
          <w:sz w:val="28"/>
          <w:szCs w:val="28"/>
          <w:highlight w:val="none"/>
        </w:rPr>
        <w:t>附件</w:t>
      </w: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rPr>
        <w:t>详细技术要求</w:t>
      </w:r>
    </w:p>
    <w:tbl>
      <w:tblPr>
        <w:tblStyle w:val="8"/>
        <w:tblW w:w="513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3"/>
        <w:gridCol w:w="855"/>
        <w:gridCol w:w="757"/>
        <w:gridCol w:w="676"/>
        <w:gridCol w:w="701"/>
        <w:gridCol w:w="10348"/>
      </w:tblGrid>
      <w:tr w14:paraId="47DFD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240" w:type="pct"/>
            <w:shd w:val="clear" w:color="auto" w:fill="auto"/>
            <w:vAlign w:val="center"/>
          </w:tcPr>
          <w:p w14:paraId="5B9D0999">
            <w:pPr>
              <w:widowControl/>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序号</w:t>
            </w:r>
          </w:p>
        </w:tc>
        <w:tc>
          <w:tcPr>
            <w:tcW w:w="305" w:type="pct"/>
            <w:shd w:val="clear" w:color="auto" w:fill="auto"/>
            <w:vAlign w:val="center"/>
          </w:tcPr>
          <w:p w14:paraId="7450910D">
            <w:pPr>
              <w:widowControl/>
              <w:jc w:val="center"/>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采购标的名称</w:t>
            </w:r>
          </w:p>
        </w:tc>
        <w:tc>
          <w:tcPr>
            <w:tcW w:w="270" w:type="pct"/>
            <w:shd w:val="clear" w:color="auto" w:fill="auto"/>
            <w:vAlign w:val="center"/>
          </w:tcPr>
          <w:p w14:paraId="7160957E">
            <w:pPr>
              <w:widowControl/>
              <w:jc w:val="center"/>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计量单位</w:t>
            </w:r>
          </w:p>
        </w:tc>
        <w:tc>
          <w:tcPr>
            <w:tcW w:w="241" w:type="pct"/>
            <w:shd w:val="clear" w:color="auto" w:fill="auto"/>
            <w:vAlign w:val="center"/>
          </w:tcPr>
          <w:p w14:paraId="711C07C2">
            <w:pPr>
              <w:widowControl/>
              <w:jc w:val="center"/>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数量</w:t>
            </w:r>
          </w:p>
        </w:tc>
        <w:tc>
          <w:tcPr>
            <w:tcW w:w="250" w:type="pct"/>
            <w:shd w:val="clear" w:color="auto" w:fill="auto"/>
            <w:vAlign w:val="center"/>
          </w:tcPr>
          <w:p w14:paraId="3D146FCE">
            <w:pPr>
              <w:widowControl/>
              <w:jc w:val="center"/>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是否进口</w:t>
            </w:r>
          </w:p>
        </w:tc>
        <w:tc>
          <w:tcPr>
            <w:tcW w:w="3691" w:type="pct"/>
            <w:shd w:val="clear" w:color="auto" w:fill="auto"/>
            <w:vAlign w:val="center"/>
          </w:tcPr>
          <w:p w14:paraId="1834F8BB">
            <w:pPr>
              <w:widowControl/>
              <w:jc w:val="center"/>
              <w:rPr>
                <w:rFonts w:hint="default" w:ascii="宋体" w:hAnsi="宋体" w:eastAsia="宋体" w:cs="宋体"/>
                <w:b/>
                <w:bCs/>
                <w:color w:val="000000"/>
                <w:kern w:val="0"/>
                <w:sz w:val="24"/>
                <w:szCs w:val="24"/>
                <w:highlight w:val="none"/>
                <w:lang w:val="en-US" w:eastAsia="zh-CN"/>
              </w:rPr>
            </w:pPr>
            <w:r>
              <w:rPr>
                <w:rFonts w:hint="eastAsia" w:ascii="宋体" w:hAnsi="宋体" w:eastAsia="宋体" w:cs="宋体"/>
                <w:b/>
                <w:bCs/>
                <w:color w:val="000000"/>
                <w:kern w:val="0"/>
                <w:sz w:val="24"/>
                <w:szCs w:val="24"/>
                <w:highlight w:val="none"/>
                <w:lang w:val="en-US" w:eastAsia="zh-CN"/>
              </w:rPr>
              <w:t>技术参数与性能指标</w:t>
            </w:r>
          </w:p>
        </w:tc>
      </w:tr>
      <w:tr w14:paraId="200AA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240" w:type="pct"/>
            <w:shd w:val="clear" w:color="auto" w:fill="auto"/>
            <w:vAlign w:val="center"/>
          </w:tcPr>
          <w:p w14:paraId="234907CF">
            <w:pPr>
              <w:widowControl/>
              <w:jc w:val="center"/>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1</w:t>
            </w:r>
          </w:p>
        </w:tc>
        <w:tc>
          <w:tcPr>
            <w:tcW w:w="305" w:type="pct"/>
            <w:shd w:val="clear" w:color="auto" w:fill="auto"/>
            <w:vAlign w:val="center"/>
          </w:tcPr>
          <w:p w14:paraId="4EBD7BB6">
            <w:pPr>
              <w:widowControl/>
              <w:jc w:val="center"/>
              <w:rPr>
                <w:rFonts w:hint="eastAsia" w:ascii="宋体" w:hAnsi="宋体" w:eastAsia="宋体" w:cs="宋体"/>
                <w:b/>
                <w:bCs/>
                <w:color w:val="000000"/>
                <w:kern w:val="0"/>
                <w:sz w:val="24"/>
                <w:szCs w:val="24"/>
                <w:highlight w:val="none"/>
              </w:rPr>
            </w:pPr>
            <w:r>
              <w:rPr>
                <w:rFonts w:hint="eastAsia" w:ascii="宋体" w:hAnsi="宋体" w:eastAsia="宋体" w:cs="宋体"/>
                <w:b/>
                <w:bCs/>
                <w:color w:val="auto"/>
                <w:kern w:val="0"/>
                <w:sz w:val="24"/>
                <w:szCs w:val="24"/>
                <w:highlight w:val="none"/>
              </w:rPr>
              <w:t>共聚焦显微镜</w:t>
            </w:r>
          </w:p>
        </w:tc>
        <w:tc>
          <w:tcPr>
            <w:tcW w:w="270" w:type="pct"/>
            <w:shd w:val="clear" w:color="auto" w:fill="auto"/>
            <w:vAlign w:val="center"/>
          </w:tcPr>
          <w:p w14:paraId="368E78CE">
            <w:pPr>
              <w:widowControl/>
              <w:jc w:val="center"/>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台</w:t>
            </w:r>
          </w:p>
        </w:tc>
        <w:tc>
          <w:tcPr>
            <w:tcW w:w="241" w:type="pct"/>
            <w:shd w:val="clear" w:color="auto" w:fill="auto"/>
            <w:vAlign w:val="center"/>
          </w:tcPr>
          <w:p w14:paraId="27C9A143">
            <w:pPr>
              <w:widowControl/>
              <w:jc w:val="center"/>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1</w:t>
            </w:r>
          </w:p>
        </w:tc>
        <w:tc>
          <w:tcPr>
            <w:tcW w:w="250" w:type="pct"/>
            <w:shd w:val="clear" w:color="auto" w:fill="auto"/>
            <w:vAlign w:val="center"/>
          </w:tcPr>
          <w:p w14:paraId="21C15D06">
            <w:pPr>
              <w:widowControl/>
              <w:jc w:val="center"/>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是</w:t>
            </w:r>
          </w:p>
        </w:tc>
        <w:tc>
          <w:tcPr>
            <w:tcW w:w="3691" w:type="pct"/>
            <w:shd w:val="clear" w:color="auto" w:fill="auto"/>
            <w:vAlign w:val="center"/>
          </w:tcPr>
          <w:p w14:paraId="3C827E38">
            <w:pPr>
              <w:snapToGrid/>
              <w:spacing w:line="288" w:lineRule="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1.激光照射系统</w:t>
            </w:r>
          </w:p>
          <w:p w14:paraId="75652DA4">
            <w:pPr>
              <w:snapToGrid/>
              <w:spacing w:line="288" w:lineRule="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eastAsia="zh-CN"/>
              </w:rPr>
              <w:t>1.1紫色固体单模激光器：405nm</w:t>
            </w:r>
            <w:r>
              <w:rPr>
                <w:rFonts w:hint="eastAsia" w:ascii="宋体" w:hAnsi="宋体" w:eastAsia="宋体" w:cs="宋体"/>
                <w:sz w:val="24"/>
                <w:szCs w:val="24"/>
                <w:highlight w:val="none"/>
                <w:lang w:val="en-US" w:eastAsia="zh-CN"/>
              </w:rPr>
              <w:t>或相近波长，</w:t>
            </w:r>
            <w:r>
              <w:rPr>
                <w:rFonts w:hint="eastAsia" w:ascii="宋体" w:hAnsi="宋体" w:eastAsia="宋体" w:cs="宋体"/>
                <w:color w:val="auto"/>
                <w:sz w:val="24"/>
                <w:szCs w:val="24"/>
                <w:highlight w:val="none"/>
                <w:lang w:val="en-US" w:eastAsia="zh-CN"/>
              </w:rPr>
              <w:t>功率</w:t>
            </w:r>
            <w:r>
              <w:rPr>
                <w:rFonts w:hint="eastAsia" w:ascii="宋体" w:hAnsi="宋体" w:eastAsia="宋体" w:cs="宋体"/>
                <w:sz w:val="24"/>
                <w:szCs w:val="24"/>
                <w:highlight w:val="none"/>
                <w:lang w:val="en-US" w:eastAsia="zh-CN"/>
              </w:rPr>
              <w:t>≤</w:t>
            </w:r>
            <w:r>
              <w:rPr>
                <w:rFonts w:hint="eastAsia" w:ascii="宋体" w:hAnsi="宋体" w:eastAsia="宋体" w:cs="宋体"/>
                <w:color w:val="auto"/>
                <w:sz w:val="24"/>
                <w:szCs w:val="24"/>
                <w:highlight w:val="none"/>
                <w:lang w:val="en-US" w:eastAsia="zh-CN"/>
              </w:rPr>
              <w:t>60mW</w:t>
            </w:r>
            <w:r>
              <w:rPr>
                <w:rFonts w:hint="eastAsia" w:ascii="宋体" w:hAnsi="宋体" w:eastAsia="宋体" w:cs="宋体"/>
                <w:sz w:val="24"/>
                <w:szCs w:val="24"/>
                <w:highlight w:val="none"/>
                <w:lang w:eastAsia="zh-CN"/>
              </w:rPr>
              <w:t>。</w:t>
            </w:r>
          </w:p>
          <w:p w14:paraId="41F3C505">
            <w:pPr>
              <w:snapToGrid/>
              <w:spacing w:line="288"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1.2蓝色泵浦固体单模激光器：488nm</w:t>
            </w:r>
            <w:r>
              <w:rPr>
                <w:rFonts w:hint="eastAsia" w:ascii="宋体" w:hAnsi="宋体" w:eastAsia="宋体" w:cs="宋体"/>
                <w:sz w:val="24"/>
                <w:szCs w:val="24"/>
                <w:highlight w:val="none"/>
                <w:lang w:val="en-US" w:eastAsia="zh-CN"/>
              </w:rPr>
              <w:t>或相近波长，功率≤100mW</w:t>
            </w:r>
            <w:r>
              <w:rPr>
                <w:rFonts w:hint="eastAsia" w:ascii="宋体" w:hAnsi="宋体" w:eastAsia="宋体" w:cs="宋体"/>
                <w:sz w:val="24"/>
                <w:szCs w:val="24"/>
                <w:highlight w:val="none"/>
                <w:lang w:eastAsia="zh-CN"/>
              </w:rPr>
              <w:t>。</w:t>
            </w:r>
          </w:p>
          <w:p w14:paraId="5056C0A7">
            <w:pPr>
              <w:snapToGrid/>
              <w:spacing w:line="288"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1.3绿色泵浦固体单模激光器：561nm</w:t>
            </w:r>
            <w:r>
              <w:rPr>
                <w:rFonts w:hint="eastAsia" w:ascii="宋体" w:hAnsi="宋体" w:eastAsia="宋体" w:cs="宋体"/>
                <w:sz w:val="24"/>
                <w:szCs w:val="24"/>
                <w:highlight w:val="none"/>
                <w:lang w:val="en-US" w:eastAsia="zh-CN"/>
              </w:rPr>
              <w:t>或相近波长，功率≤100mW</w:t>
            </w:r>
            <w:r>
              <w:rPr>
                <w:rFonts w:hint="eastAsia" w:ascii="宋体" w:hAnsi="宋体" w:eastAsia="宋体" w:cs="宋体"/>
                <w:sz w:val="24"/>
                <w:szCs w:val="24"/>
                <w:highlight w:val="none"/>
                <w:lang w:eastAsia="zh-CN"/>
              </w:rPr>
              <w:t>。</w:t>
            </w:r>
          </w:p>
          <w:p w14:paraId="08D63C13">
            <w:pPr>
              <w:snapToGrid/>
              <w:spacing w:line="288"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1.5红色泵浦固体单模激光器：640nm</w:t>
            </w:r>
            <w:r>
              <w:rPr>
                <w:rFonts w:hint="eastAsia" w:ascii="宋体" w:hAnsi="宋体" w:eastAsia="宋体" w:cs="宋体"/>
                <w:sz w:val="24"/>
                <w:szCs w:val="24"/>
                <w:highlight w:val="none"/>
                <w:lang w:val="en-US" w:eastAsia="zh-CN"/>
              </w:rPr>
              <w:t>或相近波长，功率≤100mW</w:t>
            </w:r>
            <w:r>
              <w:rPr>
                <w:rFonts w:hint="eastAsia" w:ascii="宋体" w:hAnsi="宋体" w:eastAsia="宋体" w:cs="宋体"/>
                <w:sz w:val="24"/>
                <w:szCs w:val="24"/>
                <w:highlight w:val="none"/>
                <w:lang w:eastAsia="zh-CN"/>
              </w:rPr>
              <w:t>。</w:t>
            </w:r>
          </w:p>
          <w:p w14:paraId="699ED31B">
            <w:pPr>
              <w:snapToGrid/>
              <w:spacing w:line="288"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1.6一体化的激光耦合器，通过光纤导出，近紫外到红光区域一体化色差校正。</w:t>
            </w:r>
          </w:p>
          <w:p w14:paraId="35D4A95C">
            <w:pPr>
              <w:snapToGrid/>
              <w:spacing w:line="288"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1.7配置实时同步控制系统，激光强度调节范围：1%-100%，最小调节步进精度</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lang w:eastAsia="zh-CN"/>
              </w:rPr>
              <w:t>1%，独立激光，</w:t>
            </w:r>
            <w:r>
              <w:rPr>
                <w:rFonts w:hint="eastAsia" w:ascii="宋体" w:hAnsi="宋体" w:eastAsia="宋体" w:cs="宋体"/>
                <w:sz w:val="24"/>
                <w:szCs w:val="24"/>
                <w:highlight w:val="none"/>
                <w:lang w:val="en-US" w:eastAsia="zh-CN"/>
              </w:rPr>
              <w:t>具有</w:t>
            </w:r>
            <w:r>
              <w:rPr>
                <w:rFonts w:hint="eastAsia" w:ascii="宋体" w:hAnsi="宋体" w:eastAsia="宋体" w:cs="宋体"/>
                <w:sz w:val="24"/>
                <w:szCs w:val="24"/>
                <w:highlight w:val="none"/>
                <w:lang w:eastAsia="zh-CN"/>
              </w:rPr>
              <w:t>激光开关控制和强度控制。</w:t>
            </w:r>
          </w:p>
          <w:p w14:paraId="12BDF2A0">
            <w:pPr>
              <w:snapToGrid/>
              <w:spacing w:line="288"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1.8实时同步控制模块，并行控制部件,操纵各硬件同步协调工作。</w:t>
            </w:r>
          </w:p>
          <w:p w14:paraId="515FB290">
            <w:pPr>
              <w:snapToGrid/>
              <w:spacing w:line="288"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1.9具备相机触发端口≥4个，模拟信号输出端口≥16个、数字信号输入端口≥8个，TTL数字信号输出端口≥20个，所有接口都可并行控制。</w:t>
            </w:r>
          </w:p>
          <w:p w14:paraId="1B4B64AA">
            <w:pPr>
              <w:snapToGrid/>
              <w:spacing w:line="288"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1.10多命令间隔时间≤0.1ms,时间控制精度≤20ns。</w:t>
            </w:r>
          </w:p>
          <w:p w14:paraId="503FFAE3">
            <w:pPr>
              <w:snapToGrid/>
              <w:spacing w:line="288" w:lineRule="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2.转盘共聚焦扫描及</w:t>
            </w:r>
            <w:r>
              <w:rPr>
                <w:rFonts w:hint="eastAsia" w:ascii="宋体" w:hAnsi="宋体" w:eastAsia="宋体" w:cs="宋体"/>
                <w:b/>
                <w:bCs/>
                <w:sz w:val="24"/>
                <w:szCs w:val="24"/>
                <w:highlight w:val="none"/>
                <w:lang w:val="en-US" w:eastAsia="zh-CN"/>
              </w:rPr>
              <w:t>超高分辨</w:t>
            </w:r>
            <w:r>
              <w:rPr>
                <w:rFonts w:hint="eastAsia" w:ascii="宋体" w:hAnsi="宋体" w:eastAsia="宋体" w:cs="宋体"/>
                <w:b/>
                <w:bCs/>
                <w:sz w:val="24"/>
                <w:szCs w:val="24"/>
                <w:highlight w:val="none"/>
                <w:lang w:eastAsia="zh-CN"/>
              </w:rPr>
              <w:t>系统</w:t>
            </w:r>
          </w:p>
          <w:p w14:paraId="5F6399D9">
            <w:pPr>
              <w:snapToGrid/>
              <w:spacing w:line="288" w:lineRule="auto"/>
              <w:rPr>
                <w:rFonts w:hint="eastAsia" w:ascii="宋体" w:hAnsi="宋体" w:eastAsia="宋体" w:cs="宋体"/>
                <w:sz w:val="24"/>
                <w:szCs w:val="24"/>
                <w:highlight w:val="none"/>
                <w:shd w:val="clear" w:color="auto" w:fill="auto"/>
                <w:lang w:eastAsia="zh-CN"/>
              </w:rPr>
            </w:pPr>
            <w:r>
              <w:rPr>
                <w:rFonts w:hint="eastAsia" w:ascii="宋体" w:hAnsi="宋体" w:eastAsia="宋体" w:cs="宋体"/>
                <w:sz w:val="24"/>
                <w:szCs w:val="24"/>
                <w:highlight w:val="none"/>
                <w:lang w:eastAsia="zh-CN"/>
              </w:rPr>
              <w:t>2.1</w:t>
            </w:r>
            <w:r>
              <w:rPr>
                <w:rFonts w:hint="eastAsia" w:ascii="宋体" w:hAnsi="宋体" w:eastAsia="宋体" w:cs="宋体"/>
                <w:sz w:val="24"/>
                <w:szCs w:val="24"/>
                <w:highlight w:val="none"/>
                <w:shd w:val="clear" w:color="auto" w:fill="auto"/>
                <w:lang w:eastAsia="zh-CN"/>
              </w:rPr>
              <w:t xml:space="preserve"> Nipkow双转盘,激发光端带微透镜，转速≥4000rpm，最大成像速度≥200f</w:t>
            </w:r>
            <w:r>
              <w:rPr>
                <w:rFonts w:hint="eastAsia" w:ascii="宋体" w:hAnsi="宋体" w:eastAsia="宋体" w:cs="宋体"/>
                <w:sz w:val="24"/>
                <w:szCs w:val="24"/>
                <w:highlight w:val="none"/>
                <w:shd w:val="clear" w:color="auto" w:fill="auto"/>
                <w:lang w:val="en-US" w:eastAsia="zh-CN"/>
              </w:rPr>
              <w:t>p</w:t>
            </w:r>
            <w:r>
              <w:rPr>
                <w:rFonts w:hint="eastAsia" w:ascii="宋体" w:hAnsi="宋体" w:eastAsia="宋体" w:cs="宋体"/>
                <w:sz w:val="24"/>
                <w:szCs w:val="24"/>
                <w:highlight w:val="none"/>
                <w:shd w:val="clear" w:color="auto" w:fill="auto"/>
                <w:lang w:eastAsia="zh-CN"/>
              </w:rPr>
              <w:t>s。</w:t>
            </w:r>
          </w:p>
          <w:p w14:paraId="09BD78BD">
            <w:pPr>
              <w:snapToGrid/>
              <w:spacing w:line="288" w:lineRule="auto"/>
              <w:rPr>
                <w:rFonts w:hint="eastAsia" w:ascii="宋体" w:hAnsi="宋体" w:eastAsia="宋体" w:cs="宋体"/>
                <w:bCs/>
                <w:sz w:val="24"/>
                <w:szCs w:val="24"/>
                <w:highlight w:val="none"/>
                <w:shd w:val="clear" w:color="auto" w:fill="auto"/>
                <w:lang w:eastAsia="zh-CN"/>
              </w:rPr>
            </w:pPr>
            <w:r>
              <w:rPr>
                <w:rFonts w:hint="eastAsia" w:ascii="宋体" w:hAnsi="宋体" w:eastAsia="宋体" w:cs="宋体"/>
                <w:bCs/>
                <w:sz w:val="24"/>
                <w:szCs w:val="24"/>
                <w:highlight w:val="none"/>
                <w:shd w:val="clear" w:color="auto" w:fill="auto"/>
                <w:lang w:eastAsia="zh-CN"/>
              </w:rPr>
              <w:t>2.2</w:t>
            </w:r>
            <w:r>
              <w:rPr>
                <w:rFonts w:hint="eastAsia" w:ascii="宋体" w:hAnsi="宋体" w:eastAsia="宋体" w:cs="宋体"/>
                <w:bCs/>
                <w:sz w:val="24"/>
                <w:szCs w:val="24"/>
                <w:highlight w:val="none"/>
                <w:shd w:val="clear" w:color="auto" w:fill="auto"/>
                <w:lang w:val="en-US" w:eastAsia="zh-CN"/>
              </w:rPr>
              <w:t xml:space="preserve"> </w:t>
            </w:r>
            <w:r>
              <w:rPr>
                <w:rFonts w:hint="eastAsia" w:ascii="宋体" w:hAnsi="宋体" w:eastAsia="宋体" w:cs="宋体"/>
                <w:bCs/>
                <w:sz w:val="24"/>
                <w:szCs w:val="24"/>
                <w:highlight w:val="none"/>
                <w:shd w:val="clear" w:color="auto" w:fill="auto"/>
                <w:lang w:eastAsia="zh-CN"/>
              </w:rPr>
              <w:t>科研级制冷型科研级sCMOS相机：</w:t>
            </w:r>
          </w:p>
          <w:p w14:paraId="5D7299AB">
            <w:pPr>
              <w:snapToGrid/>
              <w:spacing w:line="288"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2.2.1量子效率QE≥95%。</w:t>
            </w:r>
          </w:p>
          <w:p w14:paraId="1887EC31">
            <w:pPr>
              <w:snapToGrid/>
              <w:spacing w:line="288"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2.2.2像素：≥530万像素（2304X2304）。</w:t>
            </w:r>
          </w:p>
          <w:p w14:paraId="78686215">
            <w:pPr>
              <w:snapToGrid/>
              <w:spacing w:line="288"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2.2.3像素大小：≥6.5×6.5μm。</w:t>
            </w:r>
          </w:p>
          <w:p w14:paraId="62DCF536">
            <w:pPr>
              <w:snapToGrid/>
              <w:spacing w:line="288"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2.2.4</w:t>
            </w:r>
            <w:r>
              <w:rPr>
                <w:rFonts w:hint="eastAsia" w:ascii="宋体" w:hAnsi="宋体" w:eastAsia="宋体" w:cs="宋体"/>
                <w:sz w:val="24"/>
                <w:szCs w:val="24"/>
                <w:highlight w:val="none"/>
              </w:rPr>
              <w:t>采集速度≥8</w:t>
            </w:r>
            <w:r>
              <w:rPr>
                <w:rFonts w:hint="eastAsia" w:ascii="宋体" w:hAnsi="宋体" w:eastAsia="宋体" w:cs="宋体"/>
                <w:sz w:val="24"/>
                <w:szCs w:val="24"/>
                <w:highlight w:val="none"/>
                <w:lang w:val="en-US" w:eastAsia="zh-CN"/>
              </w:rPr>
              <w:t>0</w:t>
            </w:r>
            <w:r>
              <w:rPr>
                <w:rFonts w:hint="eastAsia" w:ascii="宋体" w:hAnsi="宋体" w:eastAsia="宋体" w:cs="宋体"/>
                <w:sz w:val="24"/>
                <w:szCs w:val="24"/>
                <w:highlight w:val="none"/>
              </w:rPr>
              <w:t xml:space="preserve"> f</w:t>
            </w:r>
            <w:r>
              <w:rPr>
                <w:rFonts w:hint="eastAsia" w:ascii="宋体" w:hAnsi="宋体" w:eastAsia="宋体" w:cs="宋体"/>
                <w:sz w:val="24"/>
                <w:szCs w:val="24"/>
                <w:highlight w:val="none"/>
                <w:lang w:val="en-US" w:eastAsia="zh-CN"/>
              </w:rPr>
              <w:t>p</w:t>
            </w:r>
            <w:r>
              <w:rPr>
                <w:rFonts w:hint="eastAsia" w:ascii="宋体" w:hAnsi="宋体" w:eastAsia="宋体" w:cs="宋体"/>
                <w:sz w:val="24"/>
                <w:szCs w:val="24"/>
                <w:highlight w:val="none"/>
              </w:rPr>
              <w:t>s@2304x2304(16bit)</w:t>
            </w:r>
            <w:r>
              <w:rPr>
                <w:rFonts w:hint="eastAsia" w:ascii="宋体" w:hAnsi="宋体" w:eastAsia="宋体" w:cs="宋体"/>
                <w:sz w:val="24"/>
                <w:szCs w:val="24"/>
                <w:highlight w:val="none"/>
                <w:lang w:eastAsia="zh-CN"/>
              </w:rPr>
              <w:t>。</w:t>
            </w:r>
          </w:p>
          <w:p w14:paraId="55F9FA2A">
            <w:pPr>
              <w:snapToGrid/>
              <w:spacing w:line="288"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2.2.5读取噪声（e-）：≤0.7。</w:t>
            </w:r>
          </w:p>
          <w:p w14:paraId="74D21044">
            <w:pPr>
              <w:keepNext w:val="0"/>
              <w:keepLines w:val="0"/>
              <w:pageBreakBefore w:val="0"/>
              <w:widowControl/>
              <w:kinsoku w:val="0"/>
              <w:wordWrap/>
              <w:overflowPunct/>
              <w:topLinePunct w:val="0"/>
              <w:autoSpaceDE w:val="0"/>
              <w:autoSpaceDN w:val="0"/>
              <w:bidi w:val="0"/>
              <w:adjustRightInd w:val="0"/>
              <w:snapToGrid/>
              <w:spacing w:line="288" w:lineRule="auto"/>
              <w:textAlignment w:val="baseline"/>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w:t>
            </w:r>
            <w:r>
              <w:rPr>
                <w:rFonts w:hint="eastAsia" w:ascii="宋体" w:hAnsi="宋体" w:eastAsia="宋体" w:cs="宋体"/>
                <w:sz w:val="24"/>
                <w:szCs w:val="24"/>
                <w:highlight w:val="none"/>
                <w:lang w:val="en-US" w:eastAsia="zh-CN"/>
              </w:rPr>
              <w:t>3 超高分辨系统</w:t>
            </w:r>
            <w:r>
              <w:rPr>
                <w:rFonts w:hint="eastAsia" w:ascii="宋体" w:hAnsi="宋体" w:eastAsia="宋体" w:cs="宋体"/>
                <w:sz w:val="24"/>
                <w:szCs w:val="24"/>
                <w:highlight w:val="none"/>
                <w:lang w:eastAsia="zh-CN"/>
              </w:rPr>
              <w:t>支持明场拍摄，</w:t>
            </w:r>
            <w:r>
              <w:rPr>
                <w:rFonts w:hint="eastAsia" w:ascii="宋体" w:hAnsi="宋体" w:eastAsia="宋体" w:cs="宋体"/>
                <w:sz w:val="24"/>
                <w:szCs w:val="24"/>
                <w:highlight w:val="none"/>
                <w:lang w:val="en-US" w:eastAsia="zh-CN"/>
              </w:rPr>
              <w:t>具有</w:t>
            </w:r>
            <w:r>
              <w:rPr>
                <w:rFonts w:hint="eastAsia" w:ascii="宋体" w:hAnsi="宋体" w:eastAsia="宋体" w:cs="宋体"/>
                <w:sz w:val="24"/>
                <w:szCs w:val="24"/>
                <w:highlight w:val="none"/>
                <w:lang w:eastAsia="zh-CN"/>
              </w:rPr>
              <w:t>超高分辨/共聚焦/宽场显微三种成像模式。</w:t>
            </w:r>
          </w:p>
          <w:p w14:paraId="03DC7C91">
            <w:pPr>
              <w:keepNext w:val="0"/>
              <w:keepLines w:val="0"/>
              <w:pageBreakBefore w:val="0"/>
              <w:widowControl/>
              <w:kinsoku w:val="0"/>
              <w:wordWrap/>
              <w:overflowPunct/>
              <w:topLinePunct w:val="0"/>
              <w:autoSpaceDE w:val="0"/>
              <w:autoSpaceDN w:val="0"/>
              <w:bidi w:val="0"/>
              <w:adjustRightInd w:val="0"/>
              <w:snapToGrid/>
              <w:spacing w:line="288" w:lineRule="auto"/>
              <w:textAlignment w:val="baseline"/>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w:t>
            </w:r>
            <w:r>
              <w:rPr>
                <w:rFonts w:hint="eastAsia" w:ascii="宋体" w:hAnsi="宋体" w:eastAsia="宋体" w:cs="宋体"/>
                <w:sz w:val="24"/>
                <w:szCs w:val="24"/>
                <w:highlight w:val="none"/>
                <w:lang w:val="en-US" w:eastAsia="zh-CN"/>
              </w:rPr>
              <w:t xml:space="preserve">4 </w:t>
            </w:r>
            <w:r>
              <w:rPr>
                <w:rFonts w:hint="eastAsia" w:ascii="宋体" w:hAnsi="宋体" w:eastAsia="宋体" w:cs="宋体"/>
                <w:sz w:val="24"/>
                <w:szCs w:val="24"/>
                <w:highlight w:val="none"/>
                <w:lang w:eastAsia="zh-CN"/>
              </w:rPr>
              <w:t>配备超高分辨硬件模块，XY分辨率≤1</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lang w:eastAsia="zh-CN"/>
              </w:rPr>
              <w:t>0nm。</w:t>
            </w:r>
          </w:p>
          <w:p w14:paraId="79E02B88">
            <w:pPr>
              <w:keepNext w:val="0"/>
              <w:keepLines w:val="0"/>
              <w:pageBreakBefore w:val="0"/>
              <w:widowControl/>
              <w:kinsoku w:val="0"/>
              <w:wordWrap/>
              <w:overflowPunct/>
              <w:topLinePunct w:val="0"/>
              <w:autoSpaceDE w:val="0"/>
              <w:autoSpaceDN w:val="0"/>
              <w:bidi w:val="0"/>
              <w:adjustRightInd w:val="0"/>
              <w:snapToGrid/>
              <w:spacing w:line="288" w:lineRule="auto"/>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2.</w:t>
            </w:r>
            <w:r>
              <w:rPr>
                <w:rFonts w:hint="eastAsia" w:ascii="宋体" w:hAnsi="宋体" w:eastAsia="宋体" w:cs="宋体"/>
                <w:sz w:val="24"/>
                <w:szCs w:val="24"/>
                <w:highlight w:val="none"/>
                <w:lang w:val="en-US" w:eastAsia="zh-CN"/>
              </w:rPr>
              <w:t>5 超</w:t>
            </w:r>
            <w:r>
              <w:rPr>
                <w:rFonts w:hint="eastAsia" w:ascii="宋体" w:hAnsi="宋体" w:eastAsia="宋体" w:cs="宋体"/>
                <w:sz w:val="24"/>
                <w:szCs w:val="24"/>
                <w:highlight w:val="none"/>
              </w:rPr>
              <w:t>高分辨率最高成像速度：≥</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00fps</w:t>
            </w:r>
          </w:p>
          <w:p w14:paraId="76DDA7AE">
            <w:pPr>
              <w:keepNext w:val="0"/>
              <w:keepLines w:val="0"/>
              <w:pageBreakBefore w:val="0"/>
              <w:widowControl/>
              <w:kinsoku w:val="0"/>
              <w:wordWrap/>
              <w:overflowPunct/>
              <w:topLinePunct w:val="0"/>
              <w:autoSpaceDE w:val="0"/>
              <w:autoSpaceDN w:val="0"/>
              <w:bidi w:val="0"/>
              <w:adjustRightInd w:val="0"/>
              <w:snapToGrid/>
              <w:spacing w:line="288" w:lineRule="auto"/>
              <w:textAlignment w:val="baseline"/>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w:t>
            </w:r>
            <w:r>
              <w:rPr>
                <w:rFonts w:hint="eastAsia" w:ascii="宋体" w:hAnsi="宋体" w:eastAsia="宋体" w:cs="宋体"/>
                <w:sz w:val="24"/>
                <w:szCs w:val="24"/>
                <w:highlight w:val="none"/>
                <w:lang w:val="en-US" w:eastAsia="zh-CN"/>
              </w:rPr>
              <w:t xml:space="preserve">6 </w:t>
            </w:r>
            <w:r>
              <w:rPr>
                <w:rFonts w:hint="eastAsia" w:ascii="宋体" w:hAnsi="宋体" w:eastAsia="宋体" w:cs="宋体"/>
                <w:sz w:val="24"/>
                <w:szCs w:val="24"/>
                <w:highlight w:val="none"/>
                <w:lang w:eastAsia="zh-CN"/>
              </w:rPr>
              <w:t>超高分辨率一次性实时成像。</w:t>
            </w:r>
          </w:p>
          <w:p w14:paraId="2EDCFD32">
            <w:pPr>
              <w:keepNext w:val="0"/>
              <w:keepLines w:val="0"/>
              <w:pageBreakBefore w:val="0"/>
              <w:widowControl/>
              <w:kinsoku w:val="0"/>
              <w:wordWrap/>
              <w:overflowPunct/>
              <w:topLinePunct w:val="0"/>
              <w:autoSpaceDE w:val="0"/>
              <w:autoSpaceDN w:val="0"/>
              <w:bidi w:val="0"/>
              <w:adjustRightInd w:val="0"/>
              <w:snapToGrid/>
              <w:spacing w:line="288" w:lineRule="auto"/>
              <w:textAlignment w:val="baseline"/>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w:t>
            </w:r>
            <w:r>
              <w:rPr>
                <w:rFonts w:hint="eastAsia" w:ascii="宋体" w:hAnsi="宋体" w:eastAsia="宋体" w:cs="宋体"/>
                <w:sz w:val="24"/>
                <w:szCs w:val="24"/>
                <w:highlight w:val="none"/>
                <w:lang w:val="en-US" w:eastAsia="zh-CN"/>
              </w:rPr>
              <w:t>7  配备与显微镜同品牌的超高分辨硬件模块，具有</w:t>
            </w:r>
            <w:r>
              <w:rPr>
                <w:rFonts w:hint="eastAsia" w:ascii="宋体" w:hAnsi="宋体" w:eastAsia="宋体" w:cs="宋体"/>
                <w:sz w:val="24"/>
                <w:szCs w:val="24"/>
                <w:highlight w:val="none"/>
                <w:lang w:eastAsia="zh-CN"/>
              </w:rPr>
              <w:t>超高分辨率1X和3.2X电动变倍器。</w:t>
            </w:r>
          </w:p>
          <w:p w14:paraId="3F9CF58F">
            <w:pPr>
              <w:keepNext w:val="0"/>
              <w:keepLines w:val="0"/>
              <w:pageBreakBefore w:val="0"/>
              <w:widowControl/>
              <w:kinsoku w:val="0"/>
              <w:wordWrap/>
              <w:overflowPunct/>
              <w:topLinePunct w:val="0"/>
              <w:autoSpaceDE w:val="0"/>
              <w:autoSpaceDN w:val="0"/>
              <w:bidi w:val="0"/>
              <w:adjustRightInd w:val="0"/>
              <w:snapToGrid/>
              <w:spacing w:line="288" w:lineRule="auto"/>
              <w:textAlignment w:val="baseline"/>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w:t>
            </w:r>
            <w:r>
              <w:rPr>
                <w:rFonts w:hint="eastAsia" w:ascii="宋体" w:hAnsi="宋体" w:eastAsia="宋体" w:cs="宋体"/>
                <w:sz w:val="24"/>
                <w:szCs w:val="24"/>
                <w:highlight w:val="none"/>
                <w:lang w:val="en-US" w:eastAsia="zh-CN"/>
              </w:rPr>
              <w:t xml:space="preserve">8 </w:t>
            </w:r>
            <w:r>
              <w:rPr>
                <w:rFonts w:hint="eastAsia" w:ascii="宋体" w:hAnsi="宋体" w:eastAsia="宋体" w:cs="宋体"/>
                <w:sz w:val="24"/>
                <w:szCs w:val="24"/>
                <w:highlight w:val="none"/>
                <w:lang w:eastAsia="zh-CN"/>
              </w:rPr>
              <w:t>扫描头、检测单元与显微镜直接耦合。</w:t>
            </w:r>
          </w:p>
          <w:p w14:paraId="0BDC19DA">
            <w:pPr>
              <w:snapToGrid/>
              <w:spacing w:line="288" w:lineRule="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3.全自动倒置显微镜系统</w:t>
            </w:r>
          </w:p>
          <w:p w14:paraId="3EE88DF8">
            <w:pPr>
              <w:snapToGrid/>
              <w:spacing w:line="288"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3.1显微镜齐焦距离≤45mm。镜体左右两侧，和后方两层均配备光口。</w:t>
            </w:r>
          </w:p>
          <w:p w14:paraId="7069A35E">
            <w:pPr>
              <w:snapToGrid/>
              <w:spacing w:line="288"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3.2显微镜镜体内置中间变倍器，提供≥3档可选倍率。</w:t>
            </w:r>
          </w:p>
          <w:p w14:paraId="110F8023">
            <w:pPr>
              <w:snapToGrid/>
              <w:spacing w:line="288"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3.3电动控制Z轴，Z轴行程≥10mm；最小Z轴步进精度≤10nm；最大调节速度≥3mm/s；</w:t>
            </w:r>
          </w:p>
          <w:p w14:paraId="691C90D3">
            <w:pPr>
              <w:snapToGrid/>
              <w:spacing w:line="288"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3.4显微镜控制和电动光路切转：支持软件、手控面板两种方式控制。支持电动控制的显微镜的功能包括：Z轴位置、物镜转盘孔位、聚光镜孔位和光阑大小、激发块转盘孔位和光闸、目镜和相机光口切换，光源亮度和开闭等。显微镜配备手控器，支持物镜转换、激发块孔位切换、透射光光源亮度控制、目镜和光口光路切换、宽场荧光和透射光光闸开闭。</w:t>
            </w:r>
            <w:r>
              <w:rPr>
                <w:rFonts w:hint="eastAsia" w:ascii="宋体" w:hAnsi="宋体" w:eastAsia="宋体" w:cs="宋体"/>
                <w:sz w:val="24"/>
                <w:szCs w:val="24"/>
                <w:highlight w:val="none"/>
                <w:lang w:val="en-US" w:eastAsia="zh-CN"/>
              </w:rPr>
              <w:t>具有</w:t>
            </w:r>
            <w:r>
              <w:rPr>
                <w:rFonts w:hint="eastAsia" w:ascii="宋体" w:hAnsi="宋体" w:eastAsia="宋体" w:cs="宋体"/>
                <w:sz w:val="24"/>
                <w:szCs w:val="24"/>
                <w:highlight w:val="none"/>
                <w:lang w:eastAsia="zh-CN"/>
              </w:rPr>
              <w:t>自定义按键，支持通过预设设置光路状态。</w:t>
            </w:r>
          </w:p>
          <w:p w14:paraId="4A624C0D">
            <w:pPr>
              <w:snapToGrid/>
              <w:spacing w:line="288"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3.5电动单层激发块转盘≥</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lang w:eastAsia="zh-CN"/>
              </w:rPr>
              <w:t>孔，激发块切换速度≤0.5sec；内置电动光闸，防水设计；荧光激发块至少包含窄带带通紫外激发（UV）、窄带带通蓝光激发（B）、宽带绿光激发（G）和宽带红光激发（CY5）四种，并可同时安装≥</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lang w:eastAsia="zh-CN"/>
              </w:rPr>
              <w:t>个荧光激发块。</w:t>
            </w:r>
          </w:p>
          <w:p w14:paraId="4A96778D">
            <w:pPr>
              <w:snapToGrid/>
              <w:spacing w:line="288"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3.6电动长工作距离万能聚光镜：具有≥</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lang w:eastAsia="zh-CN"/>
              </w:rPr>
              <w:t>孔位，数值孔径N.A.≥0.55；电动孔径光阑，电动偏光镜可自动旋入、旋出光路。</w:t>
            </w:r>
          </w:p>
          <w:p w14:paraId="2565998D">
            <w:pPr>
              <w:snapToGrid/>
              <w:spacing w:line="288"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3.7荧光光源：高亮度LED荧光光源。可通过软件控制光强，步进精度为1%。</w:t>
            </w:r>
          </w:p>
          <w:p w14:paraId="4ADA4EDB">
            <w:pPr>
              <w:snapToGrid/>
              <w:spacing w:line="288"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3.8透射光源：LED冷光源。</w:t>
            </w:r>
          </w:p>
          <w:p w14:paraId="38D4E24A">
            <w:pPr>
              <w:keepNext w:val="0"/>
              <w:keepLines w:val="0"/>
              <w:pageBreakBefore w:val="0"/>
              <w:widowControl/>
              <w:kinsoku w:val="0"/>
              <w:wordWrap/>
              <w:overflowPunct/>
              <w:topLinePunct w:val="0"/>
              <w:autoSpaceDE w:val="0"/>
              <w:autoSpaceDN w:val="0"/>
              <w:bidi w:val="0"/>
              <w:adjustRightInd w:val="0"/>
              <w:snapToGrid/>
              <w:spacing w:line="288" w:lineRule="auto"/>
              <w:textAlignment w:val="baseline"/>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eastAsia="zh-CN"/>
              </w:rPr>
              <w:t>3.9 超分辨专用万能平场超级复消色差系列物镜，</w:t>
            </w:r>
            <w:r>
              <w:rPr>
                <w:rFonts w:hint="eastAsia" w:ascii="宋体" w:hAnsi="宋体" w:eastAsia="宋体" w:cs="宋体"/>
                <w:color w:val="auto"/>
                <w:sz w:val="24"/>
                <w:szCs w:val="24"/>
                <w:highlight w:val="none"/>
                <w:lang w:eastAsia="zh-CN"/>
              </w:rPr>
              <w:t>以下物镜齐焦距离≤45mm。</w:t>
            </w:r>
            <w:r>
              <w:rPr>
                <w:rFonts w:hint="eastAsia" w:ascii="宋体" w:hAnsi="宋体" w:eastAsia="宋体" w:cs="宋体"/>
                <w:color w:val="auto"/>
                <w:sz w:val="24"/>
                <w:szCs w:val="24"/>
                <w:highlight w:val="none"/>
                <w:lang w:eastAsia="zh-CN"/>
              </w:rPr>
              <w:br w:type="textWrapping"/>
            </w:r>
            <w:r>
              <w:rPr>
                <w:rFonts w:hint="eastAsia" w:ascii="宋体" w:hAnsi="宋体" w:eastAsia="宋体" w:cs="宋体"/>
                <w:sz w:val="24"/>
                <w:szCs w:val="24"/>
                <w:highlight w:val="none"/>
                <w:lang w:eastAsia="zh-CN"/>
              </w:rPr>
              <w:t>3.9.1 4</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eastAsia="zh-CN"/>
              </w:rPr>
              <w:t>X</w:t>
            </w:r>
            <w:r>
              <w:rPr>
                <w:rFonts w:hint="eastAsia" w:ascii="宋体" w:hAnsi="宋体" w:eastAsia="宋体" w:cs="宋体"/>
                <w:sz w:val="24"/>
                <w:szCs w:val="24"/>
                <w:highlight w:val="none"/>
                <w:lang w:val="en-US" w:eastAsia="zh-CN"/>
              </w:rPr>
              <w:t>物</w:t>
            </w:r>
            <w:r>
              <w:rPr>
                <w:rFonts w:hint="eastAsia" w:ascii="宋体" w:hAnsi="宋体" w:eastAsia="宋体" w:cs="宋体"/>
                <w:sz w:val="24"/>
                <w:szCs w:val="24"/>
                <w:highlight w:val="none"/>
                <w:lang w:eastAsia="zh-CN"/>
              </w:rPr>
              <w:t>镜，数值孔径NA≥0.1</w:t>
            </w:r>
            <w:r>
              <w:rPr>
                <w:rFonts w:hint="eastAsia" w:ascii="宋体" w:hAnsi="宋体" w:eastAsia="宋体" w:cs="宋体"/>
                <w:sz w:val="24"/>
                <w:szCs w:val="24"/>
                <w:highlight w:val="none"/>
                <w:lang w:val="en-US" w:eastAsia="zh-CN"/>
              </w:rPr>
              <w:t>5。</w:t>
            </w:r>
          </w:p>
          <w:p w14:paraId="59578996">
            <w:pPr>
              <w:keepNext w:val="0"/>
              <w:keepLines w:val="0"/>
              <w:pageBreakBefore w:val="0"/>
              <w:widowControl/>
              <w:kinsoku w:val="0"/>
              <w:wordWrap/>
              <w:overflowPunct/>
              <w:topLinePunct w:val="0"/>
              <w:autoSpaceDE w:val="0"/>
              <w:autoSpaceDN w:val="0"/>
              <w:bidi w:val="0"/>
              <w:adjustRightInd w:val="0"/>
              <w:snapToGrid/>
              <w:spacing w:line="288" w:lineRule="auto"/>
              <w:textAlignment w:val="baseline"/>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3.9.2 10X</w:t>
            </w:r>
            <w:r>
              <w:rPr>
                <w:rFonts w:hint="eastAsia" w:ascii="宋体" w:hAnsi="宋体" w:eastAsia="宋体" w:cs="宋体"/>
                <w:sz w:val="24"/>
                <w:szCs w:val="24"/>
                <w:highlight w:val="none"/>
                <w:lang w:val="en-US" w:eastAsia="zh-CN"/>
              </w:rPr>
              <w:t>物</w:t>
            </w:r>
            <w:r>
              <w:rPr>
                <w:rFonts w:hint="eastAsia" w:ascii="宋体" w:hAnsi="宋体" w:eastAsia="宋体" w:cs="宋体"/>
                <w:sz w:val="24"/>
                <w:szCs w:val="24"/>
                <w:highlight w:val="none"/>
                <w:lang w:eastAsia="zh-CN"/>
              </w:rPr>
              <w:t>镜，数值孔径NA≥0.40。</w:t>
            </w:r>
          </w:p>
          <w:p w14:paraId="49C59CF2">
            <w:pPr>
              <w:keepNext w:val="0"/>
              <w:keepLines w:val="0"/>
              <w:pageBreakBefore w:val="0"/>
              <w:widowControl/>
              <w:kinsoku w:val="0"/>
              <w:wordWrap/>
              <w:overflowPunct/>
              <w:topLinePunct w:val="0"/>
              <w:autoSpaceDE w:val="0"/>
              <w:autoSpaceDN w:val="0"/>
              <w:bidi w:val="0"/>
              <w:adjustRightInd w:val="0"/>
              <w:snapToGrid/>
              <w:spacing w:line="288" w:lineRule="auto"/>
              <w:textAlignment w:val="baseline"/>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 xml:space="preserve">3.9.3 </w:t>
            </w:r>
            <w:r>
              <w:rPr>
                <w:rFonts w:hint="eastAsia" w:ascii="宋体" w:hAnsi="宋体" w:eastAsia="宋体" w:cs="宋体"/>
                <w:sz w:val="24"/>
                <w:szCs w:val="24"/>
                <w:highlight w:val="none"/>
                <w:lang w:eastAsia="zh-CN"/>
              </w:rPr>
              <w:t>20X物镜, NA ≥0.7。</w:t>
            </w:r>
          </w:p>
          <w:p w14:paraId="0A4F6EDF">
            <w:pPr>
              <w:keepNext w:val="0"/>
              <w:keepLines w:val="0"/>
              <w:pageBreakBefore w:val="0"/>
              <w:widowControl/>
              <w:kinsoku w:val="0"/>
              <w:wordWrap/>
              <w:overflowPunct/>
              <w:topLinePunct w:val="0"/>
              <w:autoSpaceDE w:val="0"/>
              <w:autoSpaceDN w:val="0"/>
              <w:bidi w:val="0"/>
              <w:adjustRightInd w:val="0"/>
              <w:snapToGrid/>
              <w:spacing w:line="288" w:lineRule="auto"/>
              <w:textAlignment w:val="baseline"/>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3.9.</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lang w:eastAsia="zh-CN"/>
              </w:rPr>
              <w:t xml:space="preserve"> </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lang w:eastAsia="zh-CN"/>
              </w:rPr>
              <w:t>0X硅油油镜，数值孔径NA≥1.</w:t>
            </w:r>
            <w:r>
              <w:rPr>
                <w:rFonts w:hint="eastAsia" w:ascii="宋体" w:hAnsi="宋体" w:eastAsia="宋体" w:cs="宋体"/>
                <w:sz w:val="24"/>
                <w:szCs w:val="24"/>
                <w:highlight w:val="none"/>
                <w:lang w:val="en-US" w:eastAsia="zh-CN"/>
              </w:rPr>
              <w:t>0。</w:t>
            </w:r>
            <w:r>
              <w:rPr>
                <w:rFonts w:hint="eastAsia" w:ascii="宋体" w:hAnsi="宋体" w:eastAsia="宋体" w:cs="宋体"/>
                <w:sz w:val="24"/>
                <w:szCs w:val="24"/>
                <w:highlight w:val="none"/>
                <w:lang w:eastAsia="zh-CN"/>
              </w:rPr>
              <w:br w:type="textWrapping"/>
            </w:r>
            <w:r>
              <w:rPr>
                <w:rFonts w:hint="eastAsia" w:ascii="宋体" w:hAnsi="宋体" w:eastAsia="宋体" w:cs="宋体"/>
                <w:sz w:val="24"/>
                <w:szCs w:val="24"/>
                <w:highlight w:val="none"/>
                <w:lang w:eastAsia="zh-CN"/>
              </w:rPr>
              <w:t>3.9.</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eastAsia="zh-CN"/>
              </w:rPr>
              <w:t xml:space="preserve"> 60X油镜，数值孔径NA≥1.</w:t>
            </w:r>
            <w:r>
              <w:rPr>
                <w:rFonts w:hint="eastAsia" w:ascii="宋体" w:hAnsi="宋体" w:eastAsia="宋体" w:cs="宋体"/>
                <w:sz w:val="24"/>
                <w:szCs w:val="24"/>
                <w:highlight w:val="none"/>
                <w:lang w:val="en-US" w:eastAsia="zh-CN"/>
              </w:rPr>
              <w:t>4。</w:t>
            </w:r>
          </w:p>
          <w:p w14:paraId="04A542A3">
            <w:pPr>
              <w:keepNext w:val="0"/>
              <w:keepLines w:val="0"/>
              <w:pageBreakBefore w:val="0"/>
              <w:widowControl/>
              <w:kinsoku w:val="0"/>
              <w:wordWrap/>
              <w:overflowPunct/>
              <w:topLinePunct w:val="0"/>
              <w:autoSpaceDE w:val="0"/>
              <w:autoSpaceDN w:val="0"/>
              <w:bidi w:val="0"/>
              <w:adjustRightInd w:val="0"/>
              <w:snapToGrid/>
              <w:spacing w:line="288" w:lineRule="auto"/>
              <w:textAlignment w:val="baseline"/>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eastAsia="zh-CN"/>
              </w:rPr>
              <w:t>3.9.6 100X</w:t>
            </w:r>
            <w:r>
              <w:rPr>
                <w:rFonts w:hint="eastAsia" w:ascii="宋体" w:hAnsi="宋体" w:eastAsia="宋体" w:cs="宋体"/>
                <w:sz w:val="24"/>
                <w:szCs w:val="24"/>
                <w:highlight w:val="none"/>
                <w:lang w:val="en-US" w:eastAsia="zh-CN"/>
              </w:rPr>
              <w:t>超</w:t>
            </w:r>
            <w:r>
              <w:rPr>
                <w:rFonts w:hint="eastAsia" w:ascii="宋体" w:hAnsi="宋体" w:eastAsia="宋体" w:cs="宋体"/>
                <w:sz w:val="24"/>
                <w:szCs w:val="24"/>
                <w:highlight w:val="none"/>
                <w:lang w:eastAsia="zh-CN"/>
              </w:rPr>
              <w:t>高分辨油镜, NA≥1.</w:t>
            </w:r>
            <w:r>
              <w:rPr>
                <w:rFonts w:hint="eastAsia" w:ascii="宋体" w:hAnsi="宋体" w:eastAsia="宋体" w:cs="宋体"/>
                <w:sz w:val="24"/>
                <w:szCs w:val="24"/>
                <w:highlight w:val="none"/>
                <w:lang w:val="en-US" w:eastAsia="zh-CN"/>
              </w:rPr>
              <w:t>49。</w:t>
            </w:r>
          </w:p>
          <w:p w14:paraId="05B1C8BF">
            <w:pPr>
              <w:snapToGrid/>
              <w:spacing w:line="288"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3.10明场观察附件：全套微分干涉（DIC）附件，配备起偏镜、检偏镜和DIC棱镜。</w:t>
            </w:r>
          </w:p>
          <w:p w14:paraId="73473B20">
            <w:pPr>
              <w:snapToGrid/>
              <w:spacing w:line="288"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3.11高精度电动载物台，同时配有扫描台控制手柄，支持控制手柄和软件操作移动载物台，具备大图拼接功能。</w:t>
            </w:r>
          </w:p>
          <w:p w14:paraId="2A90C3CB">
            <w:pPr>
              <w:snapToGrid/>
              <w:spacing w:line="288"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 xml:space="preserve">3.12 </w:t>
            </w:r>
            <w:r>
              <w:rPr>
                <w:rFonts w:hint="eastAsia" w:ascii="宋体" w:hAnsi="宋体" w:eastAsia="宋体" w:cs="宋体"/>
                <w:sz w:val="24"/>
                <w:szCs w:val="24"/>
                <w:highlight w:val="none"/>
                <w:lang w:val="en-US" w:eastAsia="zh-CN"/>
              </w:rPr>
              <w:t>具有</w:t>
            </w:r>
            <w:r>
              <w:rPr>
                <w:rFonts w:hint="eastAsia" w:ascii="宋体" w:hAnsi="宋体" w:eastAsia="宋体" w:cs="宋体"/>
                <w:sz w:val="24"/>
                <w:szCs w:val="24"/>
                <w:highlight w:val="none"/>
                <w:lang w:eastAsia="zh-CN"/>
              </w:rPr>
              <w:t>Z轴防漂移</w:t>
            </w:r>
            <w:r>
              <w:rPr>
                <w:rFonts w:hint="eastAsia" w:ascii="宋体" w:hAnsi="宋体" w:eastAsia="宋体" w:cs="宋体"/>
                <w:sz w:val="24"/>
                <w:szCs w:val="24"/>
                <w:highlight w:val="none"/>
                <w:lang w:val="en-US" w:eastAsia="zh-CN"/>
              </w:rPr>
              <w:t>功能。</w:t>
            </w:r>
          </w:p>
          <w:p w14:paraId="29D6314D">
            <w:pPr>
              <w:snapToGrid/>
              <w:spacing w:line="288"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3.12.1可在各种观察方式下自动对共聚焦小皿或玻片样品进行自动聚焦，硬件聚焦。</w:t>
            </w:r>
          </w:p>
          <w:p w14:paraId="0776A692">
            <w:pPr>
              <w:snapToGrid/>
              <w:spacing w:line="288"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3.12.2具有自动找焦功能，自动锁焦功能。</w:t>
            </w:r>
          </w:p>
          <w:p w14:paraId="6AD33D3D">
            <w:pPr>
              <w:snapToGrid/>
              <w:spacing w:line="288"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3.12.3光路全部电动切入或退出。</w:t>
            </w:r>
          </w:p>
          <w:p w14:paraId="3FCF3879">
            <w:pPr>
              <w:snapToGrid/>
              <w:spacing w:line="288"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3.13活细胞培养系统：四层加热，温度设定精度</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lang w:eastAsia="zh-CN"/>
              </w:rPr>
              <w:t>0.1℃，</w:t>
            </w:r>
            <w:r>
              <w:rPr>
                <w:rFonts w:hint="eastAsia" w:ascii="宋体" w:hAnsi="宋体" w:eastAsia="宋体" w:cs="宋体"/>
                <w:sz w:val="24"/>
                <w:szCs w:val="24"/>
                <w:highlight w:val="none"/>
                <w:lang w:val="en-US" w:eastAsia="zh-CN"/>
              </w:rPr>
              <w:t>具</w:t>
            </w:r>
            <w:r>
              <w:rPr>
                <w:rFonts w:hint="eastAsia" w:ascii="宋体" w:hAnsi="宋体" w:eastAsia="宋体" w:cs="宋体"/>
                <w:sz w:val="24"/>
                <w:szCs w:val="24"/>
                <w:highlight w:val="none"/>
                <w:lang w:eastAsia="zh-CN"/>
              </w:rPr>
              <w:t>有物镜加温功能和温度反馈功能；带CO</w:t>
            </w:r>
            <w:r>
              <w:rPr>
                <w:rFonts w:hint="eastAsia" w:ascii="宋体" w:hAnsi="宋体" w:eastAsia="宋体" w:cs="宋体"/>
                <w:sz w:val="24"/>
                <w:szCs w:val="24"/>
                <w:highlight w:val="none"/>
                <w:vertAlign w:val="subscript"/>
                <w:lang w:eastAsia="zh-CN"/>
              </w:rPr>
              <w:t>2</w:t>
            </w:r>
            <w:r>
              <w:rPr>
                <w:rFonts w:hint="eastAsia" w:ascii="宋体" w:hAnsi="宋体" w:eastAsia="宋体" w:cs="宋体"/>
                <w:sz w:val="24"/>
                <w:szCs w:val="24"/>
                <w:highlight w:val="none"/>
                <w:lang w:eastAsia="zh-CN"/>
              </w:rPr>
              <w:t>气体混合装置；支持35mm培养皿、培养板等观察。</w:t>
            </w:r>
          </w:p>
          <w:p w14:paraId="7E1C0567">
            <w:pPr>
              <w:snapToGrid/>
              <w:spacing w:line="288" w:lineRule="auto"/>
              <w:rPr>
                <w:rFonts w:hint="default" w:ascii="宋体" w:hAnsi="宋体" w:eastAsia="宋体" w:cs="宋体"/>
                <w:color w:val="auto"/>
                <w:sz w:val="24"/>
                <w:szCs w:val="24"/>
                <w:highlight w:val="none"/>
                <w:shd w:val="clear" w:color="FFFFFF" w:fill="D9D9D9"/>
                <w:lang w:val="en-US" w:eastAsia="zh-CN"/>
              </w:rPr>
            </w:pPr>
            <w:r>
              <w:rPr>
                <w:rFonts w:hint="eastAsia" w:ascii="宋体" w:hAnsi="宋体" w:eastAsia="宋体" w:cs="宋体"/>
                <w:b/>
                <w:bCs/>
                <w:sz w:val="24"/>
                <w:szCs w:val="24"/>
                <w:highlight w:val="none"/>
                <w:lang w:val="en-US" w:eastAsia="zh-CN"/>
              </w:rPr>
              <w:t>4</w:t>
            </w:r>
            <w:r>
              <w:rPr>
                <w:rFonts w:hint="eastAsia" w:ascii="宋体" w:hAnsi="宋体" w:eastAsia="宋体" w:cs="宋体"/>
                <w:b/>
                <w:bCs/>
                <w:sz w:val="24"/>
                <w:szCs w:val="24"/>
                <w:highlight w:val="none"/>
                <w:lang w:eastAsia="zh-CN"/>
              </w:rPr>
              <w:t>.</w:t>
            </w:r>
            <w:r>
              <w:rPr>
                <w:rFonts w:hint="eastAsia" w:ascii="宋体" w:hAnsi="宋体" w:eastAsia="宋体" w:cs="宋体"/>
                <w:b/>
                <w:bCs/>
                <w:sz w:val="24"/>
                <w:szCs w:val="24"/>
                <w:highlight w:val="none"/>
                <w:lang w:val="en-US" w:eastAsia="zh-CN"/>
              </w:rPr>
              <w:t>配套数据采集系统1套</w:t>
            </w:r>
          </w:p>
          <w:p w14:paraId="2FF86923">
            <w:pPr>
              <w:snapToGrid/>
              <w:spacing w:line="288" w:lineRule="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val="en-US" w:eastAsia="zh-CN"/>
              </w:rPr>
              <w:t>5</w:t>
            </w:r>
            <w:r>
              <w:rPr>
                <w:rFonts w:hint="eastAsia" w:ascii="宋体" w:hAnsi="宋体" w:eastAsia="宋体" w:cs="宋体"/>
                <w:b/>
                <w:bCs/>
                <w:sz w:val="24"/>
                <w:szCs w:val="24"/>
                <w:highlight w:val="none"/>
                <w:lang w:eastAsia="zh-CN"/>
              </w:rPr>
              <w:t>.软件</w:t>
            </w:r>
          </w:p>
          <w:p w14:paraId="41BFBF71">
            <w:pPr>
              <w:snapToGrid/>
              <w:spacing w:line="288"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eastAsia="zh-CN"/>
              </w:rPr>
              <w:t>.1</w:t>
            </w:r>
            <w:r>
              <w:rPr>
                <w:rFonts w:hint="eastAsia" w:ascii="宋体" w:hAnsi="宋体" w:eastAsia="宋体" w:cs="宋体"/>
                <w:sz w:val="24"/>
                <w:szCs w:val="24"/>
                <w:highlight w:val="none"/>
                <w:lang w:eastAsia="zh-CN"/>
              </w:rPr>
              <w:tab/>
            </w:r>
            <w:r>
              <w:rPr>
                <w:rFonts w:hint="eastAsia" w:ascii="宋体" w:hAnsi="宋体" w:eastAsia="宋体" w:cs="宋体"/>
                <w:sz w:val="24"/>
                <w:szCs w:val="24"/>
                <w:highlight w:val="none"/>
                <w:lang w:eastAsia="zh-CN"/>
              </w:rPr>
              <w:t>图像采集和系统自动控制功能，光路全电动控制切换。</w:t>
            </w:r>
          </w:p>
          <w:p w14:paraId="207190FB">
            <w:pPr>
              <w:snapToGrid/>
              <w:spacing w:line="288"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eastAsia="zh-CN"/>
              </w:rPr>
              <w:t>.2</w:t>
            </w:r>
            <w:r>
              <w:rPr>
                <w:rFonts w:hint="eastAsia" w:ascii="宋体" w:hAnsi="宋体" w:eastAsia="宋体" w:cs="宋体"/>
                <w:sz w:val="24"/>
                <w:szCs w:val="24"/>
                <w:highlight w:val="none"/>
                <w:lang w:eastAsia="zh-CN"/>
              </w:rPr>
              <w:tab/>
            </w:r>
            <w:r>
              <w:rPr>
                <w:rFonts w:hint="eastAsia" w:ascii="宋体" w:hAnsi="宋体" w:eastAsia="宋体" w:cs="宋体"/>
                <w:sz w:val="24"/>
                <w:szCs w:val="24"/>
                <w:highlight w:val="none"/>
                <w:lang w:eastAsia="zh-CN"/>
              </w:rPr>
              <w:t>智能化设置：根据染料或不同应用要求，软件可设置自动配置整个光路。可使用软件对显微镜手控器的自定义按钮进行预设，以提供便捷的光路切换。</w:t>
            </w:r>
          </w:p>
          <w:p w14:paraId="586867E2">
            <w:pPr>
              <w:snapToGrid/>
              <w:spacing w:line="288"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eastAsia="zh-CN"/>
              </w:rPr>
              <w:t>.3</w:t>
            </w:r>
            <w:r>
              <w:rPr>
                <w:rFonts w:hint="eastAsia" w:ascii="宋体" w:hAnsi="宋体" w:eastAsia="宋体" w:cs="宋体"/>
                <w:sz w:val="24"/>
                <w:szCs w:val="24"/>
                <w:highlight w:val="none"/>
                <w:lang w:eastAsia="zh-CN"/>
              </w:rPr>
              <w:tab/>
            </w:r>
            <w:r>
              <w:rPr>
                <w:rFonts w:hint="eastAsia" w:ascii="宋体" w:hAnsi="宋体" w:eastAsia="宋体" w:cs="宋体"/>
                <w:sz w:val="24"/>
                <w:szCs w:val="24"/>
                <w:highlight w:val="none"/>
                <w:lang w:eastAsia="zh-CN"/>
              </w:rPr>
              <w:t>多维显微成像：维度包括X，Y，Z，T，多位点，多通道。实现长时程、多通道荧光、Z序列、多点的自动采集和处理。</w:t>
            </w:r>
          </w:p>
          <w:p w14:paraId="3DD0F0E5">
            <w:pPr>
              <w:snapToGrid/>
              <w:spacing w:line="288"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eastAsia="zh-CN"/>
              </w:rPr>
              <w:t>.4专业图形化编程系统，可通过画流程图的方式设计复杂流程实验。配合精准的时序管理器和实时采集模块，不同成像任务之间按编辑逻辑以毫秒精度进行快速切换。支持自动对实验流程进行验证。</w:t>
            </w:r>
          </w:p>
          <w:p w14:paraId="7A357FEC">
            <w:pPr>
              <w:snapToGrid/>
              <w:spacing w:line="288"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eastAsia="zh-CN"/>
              </w:rPr>
              <w:t>.5对图像中的直线显示线上灰度强度变化。</w:t>
            </w:r>
          </w:p>
          <w:p w14:paraId="4253C687">
            <w:pPr>
              <w:snapToGrid/>
              <w:spacing w:line="288"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eastAsia="zh-CN"/>
              </w:rPr>
              <w:t>.6在图像上添加注释、箭头等功能。</w:t>
            </w:r>
          </w:p>
          <w:p w14:paraId="26980A72">
            <w:pPr>
              <w:snapToGrid/>
              <w:spacing w:line="288"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eastAsia="zh-CN"/>
              </w:rPr>
              <w:t>.7调节亮度、对比度、伽玛值以及灰度显示范围，并可以单独调节RGB各通道的亮度。</w:t>
            </w:r>
          </w:p>
          <w:p w14:paraId="6AF83525">
            <w:pPr>
              <w:snapToGrid/>
              <w:spacing w:line="288"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eastAsia="zh-CN"/>
              </w:rPr>
              <w:t>.8对单荧光通道图片做色彩合成，具有自动添加标尺功能；</w:t>
            </w:r>
          </w:p>
          <w:p w14:paraId="3BEE73E8">
            <w:pPr>
              <w:snapToGrid/>
              <w:spacing w:line="288" w:lineRule="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eastAsia="zh-CN"/>
              </w:rPr>
              <w:t>.9</w:t>
            </w:r>
            <w:r>
              <w:rPr>
                <w:rFonts w:hint="eastAsia" w:ascii="宋体" w:hAnsi="宋体" w:eastAsia="宋体" w:cs="宋体"/>
                <w:color w:val="000000" w:themeColor="text1"/>
                <w:sz w:val="24"/>
                <w:szCs w:val="24"/>
                <w:highlight w:val="none"/>
                <w:lang w:eastAsia="zh-CN"/>
                <w14:textFill>
                  <w14:solidFill>
                    <w14:schemeClr w14:val="tx1"/>
                  </w14:solidFill>
                </w14:textFill>
              </w:rPr>
              <w:t xml:space="preserve"> 支持电动载物台进行切片和多孔板等全区域扫描；可以进行自动多点位采集，大标本的高分辨率全视野图像采集，具备自动对焦地形图功能</w:t>
            </w:r>
            <w:r>
              <w:rPr>
                <w:rFonts w:hint="eastAsia" w:ascii="宋体" w:hAnsi="宋体" w:eastAsia="宋体" w:cs="宋体"/>
                <w:sz w:val="24"/>
                <w:szCs w:val="24"/>
                <w:highlight w:val="none"/>
                <w:lang w:eastAsia="zh-CN"/>
              </w:rPr>
              <w:t>。</w:t>
            </w:r>
          </w:p>
          <w:p w14:paraId="7E374111">
            <w:pPr>
              <w:snapToGrid/>
              <w:spacing w:line="288" w:lineRule="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lang w:eastAsia="zh-CN"/>
                <w14:textFill>
                  <w14:solidFill>
                    <w14:schemeClr w14:val="tx1"/>
                  </w14:solidFill>
                </w14:textFill>
              </w:rPr>
              <w:t>.10 可控制和触发其他外部设备同步工作</w:t>
            </w:r>
            <w:r>
              <w:rPr>
                <w:rFonts w:hint="eastAsia" w:ascii="宋体" w:hAnsi="宋体" w:eastAsia="宋体" w:cs="宋体"/>
                <w:sz w:val="24"/>
                <w:szCs w:val="24"/>
                <w:highlight w:val="none"/>
                <w:lang w:eastAsia="zh-CN"/>
              </w:rPr>
              <w:t>。</w:t>
            </w:r>
          </w:p>
          <w:p w14:paraId="7944B037">
            <w:pPr>
              <w:snapToGrid/>
              <w:spacing w:line="288" w:lineRule="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eastAsia="zh-CN"/>
              </w:rPr>
              <w:t>.11提供多种反卷积算法，包括近邻法、非近邻法、Wiener滤镜等国际公认计</w:t>
            </w:r>
            <w:r>
              <w:rPr>
                <w:rFonts w:hint="eastAsia" w:ascii="宋体" w:hAnsi="宋体" w:eastAsia="宋体" w:cs="宋体"/>
                <w:color w:val="000000" w:themeColor="text1"/>
                <w:sz w:val="24"/>
                <w:szCs w:val="24"/>
                <w:highlight w:val="none"/>
                <w:lang w:eastAsia="zh-CN"/>
                <w14:textFill>
                  <w14:solidFill>
                    <w14:schemeClr w14:val="tx1"/>
                  </w14:solidFill>
                </w14:textFill>
              </w:rPr>
              <w:t>算模式</w:t>
            </w:r>
            <w:r>
              <w:rPr>
                <w:rFonts w:hint="eastAsia" w:ascii="宋体" w:hAnsi="宋体" w:eastAsia="宋体" w:cs="宋体"/>
                <w:sz w:val="24"/>
                <w:szCs w:val="24"/>
                <w:highlight w:val="none"/>
                <w:lang w:eastAsia="zh-CN"/>
              </w:rPr>
              <w:t>。</w:t>
            </w:r>
          </w:p>
          <w:p w14:paraId="15220404">
            <w:pPr>
              <w:snapToGrid/>
              <w:spacing w:line="288" w:lineRule="auto"/>
              <w:rPr>
                <w:rFonts w:hint="eastAsia" w:ascii="宋体" w:hAnsi="宋体" w:eastAsia="宋体" w:cs="宋体"/>
                <w:sz w:val="24"/>
                <w:szCs w:val="24"/>
                <w:highlight w:val="none"/>
                <w:lang w:eastAsia="zh-CN"/>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lang w:eastAsia="zh-CN"/>
                <w14:textFill>
                  <w14:solidFill>
                    <w14:schemeClr w14:val="tx1"/>
                  </w14:solidFill>
                </w14:textFill>
              </w:rPr>
              <w:t>.12具备</w:t>
            </w:r>
            <w:r>
              <w:rPr>
                <w:rFonts w:hint="eastAsia" w:ascii="宋体" w:hAnsi="宋体" w:eastAsia="宋体" w:cs="宋体"/>
                <w:sz w:val="24"/>
                <w:szCs w:val="24"/>
                <w:highlight w:val="none"/>
                <w:lang w:eastAsia="zh-CN"/>
              </w:rPr>
              <w:t>软件配套</w:t>
            </w:r>
            <w:r>
              <w:rPr>
                <w:rFonts w:hint="eastAsia" w:ascii="宋体" w:hAnsi="宋体" w:eastAsia="宋体" w:cs="宋体"/>
                <w:color w:val="000000" w:themeColor="text1"/>
                <w:sz w:val="24"/>
                <w:szCs w:val="24"/>
                <w:highlight w:val="none"/>
                <w:lang w:eastAsia="zh-CN"/>
                <w14:textFill>
                  <w14:solidFill>
                    <w14:schemeClr w14:val="tx1"/>
                  </w14:solidFill>
                </w14:textFill>
              </w:rPr>
              <w:t>3D反卷积模块，可直接读取本机采集元</w:t>
            </w:r>
            <w:r>
              <w:rPr>
                <w:rFonts w:hint="eastAsia" w:ascii="宋体" w:hAnsi="宋体" w:eastAsia="宋体" w:cs="宋体"/>
                <w:sz w:val="24"/>
                <w:szCs w:val="24"/>
                <w:highlight w:val="none"/>
                <w:lang w:eastAsia="zh-CN"/>
              </w:rPr>
              <w:t>数据（物镜 NA、波长、浸液折射率等参数）自动导入 PSF 参数。</w:t>
            </w:r>
          </w:p>
          <w:p w14:paraId="005F6318">
            <w:pPr>
              <w:snapToGrid/>
              <w:spacing w:line="288" w:lineRule="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lang w:eastAsia="zh-CN"/>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eastAsia="zh-CN"/>
                <w14:textFill>
                  <w14:solidFill>
                    <w14:schemeClr w14:val="tx1"/>
                  </w14:solidFill>
                </w14:textFill>
              </w:rPr>
              <w:t xml:space="preserve"> 可以从之前软件获取的图像中再次调入设备和采集参数的信息；</w:t>
            </w: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lang w:eastAsia="zh-CN"/>
                <w14:textFill>
                  <w14:solidFill>
                    <w14:schemeClr w14:val="tx1"/>
                  </w14:solidFill>
                </w14:textFill>
              </w:rPr>
              <w:t>.13 可以测量直线长度、曲线长度、矩形面积、圆面积、周长、角度等多个参数，并把测量结果输出到EXCEL</w:t>
            </w:r>
            <w:r>
              <w:rPr>
                <w:rFonts w:hint="eastAsia" w:ascii="宋体" w:hAnsi="宋体" w:eastAsia="宋体" w:cs="宋体"/>
                <w:sz w:val="24"/>
                <w:szCs w:val="24"/>
                <w:highlight w:val="none"/>
                <w:lang w:eastAsia="zh-CN"/>
              </w:rPr>
              <w:t>。</w:t>
            </w:r>
          </w:p>
          <w:p w14:paraId="3F5E3DCD">
            <w:pPr>
              <w:snapToGrid/>
              <w:spacing w:line="288" w:lineRule="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lang w:eastAsia="zh-CN"/>
                <w14:textFill>
                  <w14:solidFill>
                    <w14:schemeClr w14:val="tx1"/>
                  </w14:solidFill>
                </w14:textFill>
              </w:rPr>
              <w:t>.14 具备宏程序功能，并可利用宏程序进行批处理文件</w:t>
            </w:r>
            <w:r>
              <w:rPr>
                <w:rFonts w:hint="eastAsia" w:ascii="宋体" w:hAnsi="宋体" w:eastAsia="宋体" w:cs="宋体"/>
                <w:sz w:val="24"/>
                <w:szCs w:val="24"/>
                <w:highlight w:val="none"/>
                <w:lang w:eastAsia="zh-CN"/>
              </w:rPr>
              <w:t>。</w:t>
            </w:r>
          </w:p>
          <w:p w14:paraId="55ABDA29">
            <w:pPr>
              <w:snapToGrid/>
              <w:spacing w:line="288" w:lineRule="auto"/>
              <w:rPr>
                <w:rFonts w:hint="eastAsia" w:ascii="宋体" w:hAnsi="宋体" w:eastAsia="宋体" w:cs="宋体"/>
                <w:sz w:val="24"/>
                <w:szCs w:val="24"/>
                <w:highlight w:val="none"/>
                <w:lang w:eastAsia="zh-CN"/>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lang w:eastAsia="zh-CN"/>
                <w14:textFill>
                  <w14:solidFill>
                    <w14:schemeClr w14:val="tx1"/>
                  </w14:solidFill>
                </w14:textFill>
              </w:rPr>
              <w:t>.15 手动计数功能，支持手动分组功能，数据可输出到Excel；可以针对所有类型的图像进行自动筛选、测量、计数等操作</w:t>
            </w:r>
            <w:r>
              <w:rPr>
                <w:rFonts w:hint="eastAsia" w:ascii="宋体" w:hAnsi="宋体" w:eastAsia="宋体" w:cs="宋体"/>
                <w:sz w:val="24"/>
                <w:szCs w:val="24"/>
                <w:highlight w:val="none"/>
                <w:lang w:eastAsia="zh-CN"/>
              </w:rPr>
              <w:t>。</w:t>
            </w:r>
          </w:p>
          <w:p w14:paraId="36751750">
            <w:pPr>
              <w:snapToGrid/>
              <w:spacing w:line="288" w:lineRule="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lang w:eastAsia="zh-CN"/>
                <w14:textFill>
                  <w14:solidFill>
                    <w14:schemeClr w14:val="tx1"/>
                  </w14:solidFill>
                </w14:textFill>
              </w:rPr>
              <w:t>.16支持将时间序列图像转换成Kymograph图像，并进行测量分析，结果可导出；动态图像Tracking功能，针对所有类型的动态图像进行自动轨迹追踪、测量、分析等操作</w:t>
            </w:r>
            <w:r>
              <w:rPr>
                <w:rFonts w:hint="eastAsia" w:ascii="宋体" w:hAnsi="宋体" w:eastAsia="宋体" w:cs="宋体"/>
                <w:sz w:val="24"/>
                <w:szCs w:val="24"/>
                <w:highlight w:val="none"/>
                <w:lang w:eastAsia="zh-CN"/>
              </w:rPr>
              <w:t>。</w:t>
            </w:r>
          </w:p>
          <w:p w14:paraId="699AD649">
            <w:pPr>
              <w:snapToGrid/>
              <w:spacing w:line="288" w:lineRule="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lang w:eastAsia="zh-CN"/>
                <w14:textFill>
                  <w14:solidFill>
                    <w14:schemeClr w14:val="tx1"/>
                  </w14:solidFill>
                </w14:textFill>
              </w:rPr>
              <w:t>.17 可对FRET、Ratio等图像进行分析，支持三种以上专业分析算法，支持IMD显示模式；可对FRAP图像进行标准化、光漂白校正、指数拟合等分析，获取动态分子比例变化，半恢复时间，标准曲线和拟合曲线等数据结果，结果可以导出</w:t>
            </w:r>
            <w:r>
              <w:rPr>
                <w:rFonts w:hint="eastAsia" w:ascii="宋体" w:hAnsi="宋体" w:eastAsia="宋体" w:cs="宋体"/>
                <w:sz w:val="24"/>
                <w:szCs w:val="24"/>
                <w:highlight w:val="none"/>
                <w:lang w:eastAsia="zh-CN"/>
              </w:rPr>
              <w:t>。</w:t>
            </w:r>
          </w:p>
          <w:p w14:paraId="66D5C389">
            <w:pPr>
              <w:snapToGrid/>
              <w:spacing w:line="288" w:lineRule="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lang w:eastAsia="zh-CN"/>
                <w14:textFill>
                  <w14:solidFill>
                    <w14:schemeClr w14:val="tx1"/>
                  </w14:solidFill>
                </w14:textFill>
              </w:rPr>
              <w:t>.18共定位定量分析：对于多标荧光图像进行共定位定量分析</w:t>
            </w:r>
            <w:r>
              <w:rPr>
                <w:rFonts w:hint="eastAsia" w:ascii="宋体" w:hAnsi="宋体" w:eastAsia="宋体" w:cs="宋体"/>
                <w:sz w:val="24"/>
                <w:szCs w:val="24"/>
                <w:highlight w:val="none"/>
                <w:lang w:eastAsia="zh-CN"/>
              </w:rPr>
              <w:t>。</w:t>
            </w:r>
          </w:p>
          <w:p w14:paraId="5200DE90">
            <w:pPr>
              <w:snapToGrid/>
              <w:spacing w:line="288" w:lineRule="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lang w:eastAsia="zh-CN"/>
                <w14:textFill>
                  <w14:solidFill>
                    <w14:schemeClr w14:val="tx1"/>
                  </w14:solidFill>
                </w14:textFill>
              </w:rPr>
              <w:t>.19可根据不同用户自定义个性化的布局界面</w:t>
            </w:r>
            <w:r>
              <w:rPr>
                <w:rFonts w:hint="eastAsia" w:ascii="宋体" w:hAnsi="宋体" w:eastAsia="宋体" w:cs="宋体"/>
                <w:sz w:val="24"/>
                <w:szCs w:val="24"/>
                <w:highlight w:val="none"/>
                <w:lang w:eastAsia="zh-CN"/>
              </w:rPr>
              <w:t>。</w:t>
            </w:r>
          </w:p>
          <w:p w14:paraId="1D42B496">
            <w:pPr>
              <w:spacing w:line="288" w:lineRule="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lang w:eastAsia="zh-CN"/>
                <w14:textFill>
                  <w14:solidFill>
                    <w14:schemeClr w14:val="tx1"/>
                  </w14:solidFill>
                </w14:textFill>
              </w:rPr>
              <w:t xml:space="preserve">.20 </w:t>
            </w:r>
            <w:r>
              <w:rPr>
                <w:rFonts w:hint="eastAsia" w:ascii="宋体" w:hAnsi="宋体" w:eastAsia="宋体" w:cs="宋体"/>
                <w:color w:val="000000" w:themeColor="text1"/>
                <w:sz w:val="24"/>
                <w:szCs w:val="24"/>
                <w:highlight w:val="none"/>
                <w:lang w:val="en-US" w:eastAsia="zh-CN"/>
                <w14:textFill>
                  <w14:solidFill>
                    <w14:schemeClr w14:val="tx1"/>
                  </w14:solidFill>
                </w14:textFill>
              </w:rPr>
              <w:t>具有</w:t>
            </w:r>
            <w:r>
              <w:rPr>
                <w:rFonts w:hint="eastAsia" w:ascii="宋体" w:hAnsi="宋体" w:eastAsia="宋体" w:cs="宋体"/>
                <w:color w:val="000000" w:themeColor="text1"/>
                <w:sz w:val="24"/>
                <w:szCs w:val="24"/>
                <w:highlight w:val="none"/>
                <w:lang w:eastAsia="zh-CN"/>
                <w14:textFill>
                  <w14:solidFill>
                    <w14:schemeClr w14:val="tx1"/>
                  </w14:solidFill>
                </w14:textFill>
              </w:rPr>
              <w:t>拼接图像栅格阴影去除的功能。采集拼接图像后实时去除栅格状阴影。</w:t>
            </w:r>
          </w:p>
        </w:tc>
      </w:tr>
    </w:tbl>
    <w:p w14:paraId="07687BD3">
      <w:pPr>
        <w:spacing w:line="360" w:lineRule="auto"/>
        <w:rPr>
          <w:rFonts w:hint="eastAsia"/>
          <w:color w:val="auto"/>
          <w:highlight w:val="none"/>
          <w:lang w:val="en-US" w:eastAsia="zh-CN"/>
        </w:rPr>
      </w:pPr>
    </w:p>
    <w:sectPr>
      <w:headerReference r:id="rId3" w:type="default"/>
      <w:footerReference r:id="rId4" w:type="default"/>
      <w:footerReference r:id="rId5" w:type="even"/>
      <w:pgSz w:w="16838" w:h="11906" w:orient="landscape"/>
      <w:pgMar w:top="1389" w:right="1701" w:bottom="1361" w:left="1701" w:header="851" w:footer="992" w:gutter="0"/>
      <w:pgNumType w:fmt="decimal"/>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DB4D5">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E95CF6">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63E95CF6">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12</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CA602">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D78CAE">
                          <w:pPr>
                            <w:pStyle w:val="4"/>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9D78CAE">
                    <w:pPr>
                      <w:pStyle w:val="4"/>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633B1">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515382"/>
    <w:multiLevelType w:val="singleLevel"/>
    <w:tmpl w:val="5451538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evenAndOddHeaders w:val="1"/>
  <w:drawingGridHorizontalSpacing w:val="10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cxODRkZTkzMzcxYzlkZTlhODQ0YTE1M2I5NzViNTYifQ=="/>
  </w:docVars>
  <w:rsids>
    <w:rsidRoot w:val="0030106B"/>
    <w:rsid w:val="00000698"/>
    <w:rsid w:val="000011A5"/>
    <w:rsid w:val="00010BF1"/>
    <w:rsid w:val="00023BDD"/>
    <w:rsid w:val="00024D0A"/>
    <w:rsid w:val="00030CB2"/>
    <w:rsid w:val="0004030A"/>
    <w:rsid w:val="00041346"/>
    <w:rsid w:val="00053AFD"/>
    <w:rsid w:val="00057C84"/>
    <w:rsid w:val="00074B50"/>
    <w:rsid w:val="00082A58"/>
    <w:rsid w:val="00091335"/>
    <w:rsid w:val="000B39FD"/>
    <w:rsid w:val="000B42FA"/>
    <w:rsid w:val="000B5AE0"/>
    <w:rsid w:val="000B6345"/>
    <w:rsid w:val="000B63B4"/>
    <w:rsid w:val="000B7901"/>
    <w:rsid w:val="000C000F"/>
    <w:rsid w:val="000C39BB"/>
    <w:rsid w:val="000D0EB2"/>
    <w:rsid w:val="000D4ADE"/>
    <w:rsid w:val="000E5582"/>
    <w:rsid w:val="0010654E"/>
    <w:rsid w:val="001139C2"/>
    <w:rsid w:val="00115C13"/>
    <w:rsid w:val="0012051F"/>
    <w:rsid w:val="00121ED2"/>
    <w:rsid w:val="001327F4"/>
    <w:rsid w:val="00137A95"/>
    <w:rsid w:val="001431C5"/>
    <w:rsid w:val="001558BB"/>
    <w:rsid w:val="00161377"/>
    <w:rsid w:val="001640FF"/>
    <w:rsid w:val="0018274C"/>
    <w:rsid w:val="00185DB9"/>
    <w:rsid w:val="001A356B"/>
    <w:rsid w:val="001A75DA"/>
    <w:rsid w:val="001B3C20"/>
    <w:rsid w:val="001B446C"/>
    <w:rsid w:val="001B75A4"/>
    <w:rsid w:val="001C6A57"/>
    <w:rsid w:val="001D4B6A"/>
    <w:rsid w:val="001D7AA6"/>
    <w:rsid w:val="001F28D0"/>
    <w:rsid w:val="00204073"/>
    <w:rsid w:val="0020584D"/>
    <w:rsid w:val="00206E9A"/>
    <w:rsid w:val="002171BF"/>
    <w:rsid w:val="00227709"/>
    <w:rsid w:val="0023368B"/>
    <w:rsid w:val="00234448"/>
    <w:rsid w:val="00245D1C"/>
    <w:rsid w:val="002474B6"/>
    <w:rsid w:val="00256960"/>
    <w:rsid w:val="00280711"/>
    <w:rsid w:val="00281884"/>
    <w:rsid w:val="00294097"/>
    <w:rsid w:val="0029418C"/>
    <w:rsid w:val="002943CB"/>
    <w:rsid w:val="00295ECF"/>
    <w:rsid w:val="002A0169"/>
    <w:rsid w:val="002A0F48"/>
    <w:rsid w:val="002A2CD7"/>
    <w:rsid w:val="002A51E4"/>
    <w:rsid w:val="002A5A75"/>
    <w:rsid w:val="002A5DBC"/>
    <w:rsid w:val="002A65D9"/>
    <w:rsid w:val="002B2AAE"/>
    <w:rsid w:val="002C1253"/>
    <w:rsid w:val="002D08D1"/>
    <w:rsid w:val="002D15BB"/>
    <w:rsid w:val="002E1703"/>
    <w:rsid w:val="0030106B"/>
    <w:rsid w:val="00303D8C"/>
    <w:rsid w:val="0030567C"/>
    <w:rsid w:val="00311A58"/>
    <w:rsid w:val="00313BCD"/>
    <w:rsid w:val="00321509"/>
    <w:rsid w:val="003233D3"/>
    <w:rsid w:val="00332B69"/>
    <w:rsid w:val="003336D7"/>
    <w:rsid w:val="0033419E"/>
    <w:rsid w:val="00341B76"/>
    <w:rsid w:val="00341D2E"/>
    <w:rsid w:val="00346900"/>
    <w:rsid w:val="00363E08"/>
    <w:rsid w:val="0036611E"/>
    <w:rsid w:val="00373383"/>
    <w:rsid w:val="0037562E"/>
    <w:rsid w:val="00385BF9"/>
    <w:rsid w:val="00395696"/>
    <w:rsid w:val="00397CCF"/>
    <w:rsid w:val="003A0AAC"/>
    <w:rsid w:val="003A37D8"/>
    <w:rsid w:val="003A5CDE"/>
    <w:rsid w:val="003A6D15"/>
    <w:rsid w:val="003A708B"/>
    <w:rsid w:val="003B067A"/>
    <w:rsid w:val="003B4425"/>
    <w:rsid w:val="003E2DEF"/>
    <w:rsid w:val="00406DEA"/>
    <w:rsid w:val="00426BA3"/>
    <w:rsid w:val="00432A36"/>
    <w:rsid w:val="004357E2"/>
    <w:rsid w:val="00440ACF"/>
    <w:rsid w:val="00477CE5"/>
    <w:rsid w:val="004804E6"/>
    <w:rsid w:val="00480711"/>
    <w:rsid w:val="00486DEB"/>
    <w:rsid w:val="00491A3E"/>
    <w:rsid w:val="00495E6D"/>
    <w:rsid w:val="004A01C4"/>
    <w:rsid w:val="004A4505"/>
    <w:rsid w:val="004A7884"/>
    <w:rsid w:val="004B090D"/>
    <w:rsid w:val="004B4F03"/>
    <w:rsid w:val="004C2305"/>
    <w:rsid w:val="004D5768"/>
    <w:rsid w:val="004E5D20"/>
    <w:rsid w:val="004E6E86"/>
    <w:rsid w:val="004E7557"/>
    <w:rsid w:val="004F1926"/>
    <w:rsid w:val="004F7B84"/>
    <w:rsid w:val="005050A2"/>
    <w:rsid w:val="005258EA"/>
    <w:rsid w:val="00525A72"/>
    <w:rsid w:val="0052734A"/>
    <w:rsid w:val="0052744F"/>
    <w:rsid w:val="00530B6C"/>
    <w:rsid w:val="00532E4E"/>
    <w:rsid w:val="0054053F"/>
    <w:rsid w:val="00545EA5"/>
    <w:rsid w:val="00550D46"/>
    <w:rsid w:val="00557005"/>
    <w:rsid w:val="00560C0C"/>
    <w:rsid w:val="0056787B"/>
    <w:rsid w:val="00572C05"/>
    <w:rsid w:val="00582A71"/>
    <w:rsid w:val="00596DC2"/>
    <w:rsid w:val="005A2704"/>
    <w:rsid w:val="005C22DF"/>
    <w:rsid w:val="005D17E8"/>
    <w:rsid w:val="005D2281"/>
    <w:rsid w:val="005E3BEE"/>
    <w:rsid w:val="00601332"/>
    <w:rsid w:val="00603667"/>
    <w:rsid w:val="00620304"/>
    <w:rsid w:val="00627B0B"/>
    <w:rsid w:val="006426FD"/>
    <w:rsid w:val="00647C24"/>
    <w:rsid w:val="00650317"/>
    <w:rsid w:val="00652295"/>
    <w:rsid w:val="006654F4"/>
    <w:rsid w:val="00670318"/>
    <w:rsid w:val="0068173B"/>
    <w:rsid w:val="00682C78"/>
    <w:rsid w:val="006834D4"/>
    <w:rsid w:val="006838BA"/>
    <w:rsid w:val="00685EE4"/>
    <w:rsid w:val="006864EA"/>
    <w:rsid w:val="006940F8"/>
    <w:rsid w:val="006A6358"/>
    <w:rsid w:val="006B68D2"/>
    <w:rsid w:val="006C1D30"/>
    <w:rsid w:val="006C3692"/>
    <w:rsid w:val="006C6460"/>
    <w:rsid w:val="006D0C46"/>
    <w:rsid w:val="006D24E1"/>
    <w:rsid w:val="006E69AD"/>
    <w:rsid w:val="006F59CE"/>
    <w:rsid w:val="006F7788"/>
    <w:rsid w:val="0070377B"/>
    <w:rsid w:val="00704BDA"/>
    <w:rsid w:val="00713A03"/>
    <w:rsid w:val="00716F55"/>
    <w:rsid w:val="00721EC4"/>
    <w:rsid w:val="0072358F"/>
    <w:rsid w:val="00724798"/>
    <w:rsid w:val="00732866"/>
    <w:rsid w:val="0073541C"/>
    <w:rsid w:val="00742B06"/>
    <w:rsid w:val="00744850"/>
    <w:rsid w:val="00745D19"/>
    <w:rsid w:val="0074770C"/>
    <w:rsid w:val="00747780"/>
    <w:rsid w:val="00754EFB"/>
    <w:rsid w:val="00757933"/>
    <w:rsid w:val="0076516B"/>
    <w:rsid w:val="00775034"/>
    <w:rsid w:val="00775D4A"/>
    <w:rsid w:val="00776C9F"/>
    <w:rsid w:val="0078259D"/>
    <w:rsid w:val="00792D2E"/>
    <w:rsid w:val="00793EC7"/>
    <w:rsid w:val="0079517B"/>
    <w:rsid w:val="007A3274"/>
    <w:rsid w:val="007A3969"/>
    <w:rsid w:val="007B02AC"/>
    <w:rsid w:val="007B39EC"/>
    <w:rsid w:val="007B538D"/>
    <w:rsid w:val="007B6CD5"/>
    <w:rsid w:val="007C1D74"/>
    <w:rsid w:val="007C3FE7"/>
    <w:rsid w:val="007D5A2D"/>
    <w:rsid w:val="007D6D43"/>
    <w:rsid w:val="007D7B4C"/>
    <w:rsid w:val="007E251F"/>
    <w:rsid w:val="007F5B17"/>
    <w:rsid w:val="00806C4C"/>
    <w:rsid w:val="00806ED7"/>
    <w:rsid w:val="00816668"/>
    <w:rsid w:val="0082494B"/>
    <w:rsid w:val="00827280"/>
    <w:rsid w:val="00832BE9"/>
    <w:rsid w:val="0085115F"/>
    <w:rsid w:val="00851568"/>
    <w:rsid w:val="008557C6"/>
    <w:rsid w:val="00863B7A"/>
    <w:rsid w:val="00865B33"/>
    <w:rsid w:val="008773EE"/>
    <w:rsid w:val="00885A35"/>
    <w:rsid w:val="008943C8"/>
    <w:rsid w:val="008B2331"/>
    <w:rsid w:val="008C1369"/>
    <w:rsid w:val="008D0665"/>
    <w:rsid w:val="008D429B"/>
    <w:rsid w:val="008E3E61"/>
    <w:rsid w:val="008E6363"/>
    <w:rsid w:val="008E6A71"/>
    <w:rsid w:val="008E7A37"/>
    <w:rsid w:val="008F234F"/>
    <w:rsid w:val="009174BB"/>
    <w:rsid w:val="0092478F"/>
    <w:rsid w:val="00925FC9"/>
    <w:rsid w:val="009331FD"/>
    <w:rsid w:val="009333AA"/>
    <w:rsid w:val="00934E05"/>
    <w:rsid w:val="00935891"/>
    <w:rsid w:val="00940044"/>
    <w:rsid w:val="0094249D"/>
    <w:rsid w:val="00945FB0"/>
    <w:rsid w:val="00950CDE"/>
    <w:rsid w:val="00960496"/>
    <w:rsid w:val="009613A2"/>
    <w:rsid w:val="00961EA2"/>
    <w:rsid w:val="00971000"/>
    <w:rsid w:val="0097497E"/>
    <w:rsid w:val="00975C5B"/>
    <w:rsid w:val="00976677"/>
    <w:rsid w:val="009818A0"/>
    <w:rsid w:val="009954C9"/>
    <w:rsid w:val="009A2231"/>
    <w:rsid w:val="009A31DA"/>
    <w:rsid w:val="009A74AD"/>
    <w:rsid w:val="009B74D4"/>
    <w:rsid w:val="009C5CD8"/>
    <w:rsid w:val="009D120F"/>
    <w:rsid w:val="009D7338"/>
    <w:rsid w:val="009E042D"/>
    <w:rsid w:val="009E0DFB"/>
    <w:rsid w:val="009F09A1"/>
    <w:rsid w:val="009F0AD2"/>
    <w:rsid w:val="009F62E4"/>
    <w:rsid w:val="00A02722"/>
    <w:rsid w:val="00A27C51"/>
    <w:rsid w:val="00A33158"/>
    <w:rsid w:val="00A3727E"/>
    <w:rsid w:val="00A51941"/>
    <w:rsid w:val="00A618DD"/>
    <w:rsid w:val="00A914B8"/>
    <w:rsid w:val="00AA02A0"/>
    <w:rsid w:val="00AA039E"/>
    <w:rsid w:val="00AA0D27"/>
    <w:rsid w:val="00AA5010"/>
    <w:rsid w:val="00AA66E2"/>
    <w:rsid w:val="00AB69C2"/>
    <w:rsid w:val="00AC64BC"/>
    <w:rsid w:val="00AD23B5"/>
    <w:rsid w:val="00AF462B"/>
    <w:rsid w:val="00AF7C1B"/>
    <w:rsid w:val="00B0192D"/>
    <w:rsid w:val="00B0594F"/>
    <w:rsid w:val="00B17AA9"/>
    <w:rsid w:val="00B26D30"/>
    <w:rsid w:val="00B27A3A"/>
    <w:rsid w:val="00B3348B"/>
    <w:rsid w:val="00B36F31"/>
    <w:rsid w:val="00B3721E"/>
    <w:rsid w:val="00B429F9"/>
    <w:rsid w:val="00B44D3C"/>
    <w:rsid w:val="00B540E1"/>
    <w:rsid w:val="00B615BD"/>
    <w:rsid w:val="00B6319E"/>
    <w:rsid w:val="00B95657"/>
    <w:rsid w:val="00BA39F3"/>
    <w:rsid w:val="00BA5EA9"/>
    <w:rsid w:val="00BB2B98"/>
    <w:rsid w:val="00BC3F97"/>
    <w:rsid w:val="00BD3C3A"/>
    <w:rsid w:val="00BD4CB1"/>
    <w:rsid w:val="00BE1DD2"/>
    <w:rsid w:val="00BE2640"/>
    <w:rsid w:val="00BF0B6A"/>
    <w:rsid w:val="00BF44E3"/>
    <w:rsid w:val="00BF4CE2"/>
    <w:rsid w:val="00BF650C"/>
    <w:rsid w:val="00C071E5"/>
    <w:rsid w:val="00C268F5"/>
    <w:rsid w:val="00C26C4C"/>
    <w:rsid w:val="00C359CA"/>
    <w:rsid w:val="00C552F0"/>
    <w:rsid w:val="00C61367"/>
    <w:rsid w:val="00C61F89"/>
    <w:rsid w:val="00C66936"/>
    <w:rsid w:val="00C82A0C"/>
    <w:rsid w:val="00C847C1"/>
    <w:rsid w:val="00CA61CA"/>
    <w:rsid w:val="00CA6C28"/>
    <w:rsid w:val="00CB65A6"/>
    <w:rsid w:val="00CB78AC"/>
    <w:rsid w:val="00CC1069"/>
    <w:rsid w:val="00CC773F"/>
    <w:rsid w:val="00CD14BA"/>
    <w:rsid w:val="00CE6BB8"/>
    <w:rsid w:val="00CF1935"/>
    <w:rsid w:val="00CF4152"/>
    <w:rsid w:val="00D00608"/>
    <w:rsid w:val="00D074CA"/>
    <w:rsid w:val="00D16306"/>
    <w:rsid w:val="00D40704"/>
    <w:rsid w:val="00D67C46"/>
    <w:rsid w:val="00D80FFC"/>
    <w:rsid w:val="00D85451"/>
    <w:rsid w:val="00D87325"/>
    <w:rsid w:val="00DA7B71"/>
    <w:rsid w:val="00DB0852"/>
    <w:rsid w:val="00DB1DFA"/>
    <w:rsid w:val="00DB3DAB"/>
    <w:rsid w:val="00DC18FC"/>
    <w:rsid w:val="00DD5595"/>
    <w:rsid w:val="00DE3F34"/>
    <w:rsid w:val="00E05C4C"/>
    <w:rsid w:val="00E065DD"/>
    <w:rsid w:val="00E06926"/>
    <w:rsid w:val="00E076D8"/>
    <w:rsid w:val="00E15248"/>
    <w:rsid w:val="00E153F9"/>
    <w:rsid w:val="00E156A1"/>
    <w:rsid w:val="00E1779E"/>
    <w:rsid w:val="00E3729F"/>
    <w:rsid w:val="00E439CC"/>
    <w:rsid w:val="00E45A91"/>
    <w:rsid w:val="00E510C7"/>
    <w:rsid w:val="00E6365E"/>
    <w:rsid w:val="00E664A1"/>
    <w:rsid w:val="00E7103A"/>
    <w:rsid w:val="00E73768"/>
    <w:rsid w:val="00E918BF"/>
    <w:rsid w:val="00EB0721"/>
    <w:rsid w:val="00EB255F"/>
    <w:rsid w:val="00EB58B9"/>
    <w:rsid w:val="00EB5ACD"/>
    <w:rsid w:val="00EB7248"/>
    <w:rsid w:val="00ED2D29"/>
    <w:rsid w:val="00ED30F2"/>
    <w:rsid w:val="00ED65CD"/>
    <w:rsid w:val="00ED7165"/>
    <w:rsid w:val="00F0101A"/>
    <w:rsid w:val="00F04198"/>
    <w:rsid w:val="00F066DB"/>
    <w:rsid w:val="00F06D4D"/>
    <w:rsid w:val="00F216D6"/>
    <w:rsid w:val="00F2235A"/>
    <w:rsid w:val="00F36B28"/>
    <w:rsid w:val="00F54108"/>
    <w:rsid w:val="00F67A51"/>
    <w:rsid w:val="00F70B6F"/>
    <w:rsid w:val="00F80F36"/>
    <w:rsid w:val="00F81E7C"/>
    <w:rsid w:val="00FA7BC0"/>
    <w:rsid w:val="00FB5D64"/>
    <w:rsid w:val="00FB6BEB"/>
    <w:rsid w:val="00FC3B73"/>
    <w:rsid w:val="00FD2F45"/>
    <w:rsid w:val="00FE199A"/>
    <w:rsid w:val="00FE269F"/>
    <w:rsid w:val="00FE2F98"/>
    <w:rsid w:val="00FE6C01"/>
    <w:rsid w:val="012F2443"/>
    <w:rsid w:val="01825488"/>
    <w:rsid w:val="018C0E03"/>
    <w:rsid w:val="01BA61B0"/>
    <w:rsid w:val="01BB516D"/>
    <w:rsid w:val="01F3521E"/>
    <w:rsid w:val="02826A24"/>
    <w:rsid w:val="02BA0F2C"/>
    <w:rsid w:val="037979A5"/>
    <w:rsid w:val="03CB3F9B"/>
    <w:rsid w:val="03D42F29"/>
    <w:rsid w:val="03E47515"/>
    <w:rsid w:val="045521C0"/>
    <w:rsid w:val="049814E0"/>
    <w:rsid w:val="053B0618"/>
    <w:rsid w:val="05672E13"/>
    <w:rsid w:val="05DB7E97"/>
    <w:rsid w:val="06836769"/>
    <w:rsid w:val="06EA0626"/>
    <w:rsid w:val="088A7F5F"/>
    <w:rsid w:val="089A4646"/>
    <w:rsid w:val="08A95854"/>
    <w:rsid w:val="08BD7FAD"/>
    <w:rsid w:val="08CF6958"/>
    <w:rsid w:val="090827CD"/>
    <w:rsid w:val="09D81E8C"/>
    <w:rsid w:val="0A0F696E"/>
    <w:rsid w:val="0A1102E2"/>
    <w:rsid w:val="0A480B9C"/>
    <w:rsid w:val="0A530F50"/>
    <w:rsid w:val="0B4524FB"/>
    <w:rsid w:val="0BE5112D"/>
    <w:rsid w:val="0BF57DE5"/>
    <w:rsid w:val="0C470F50"/>
    <w:rsid w:val="0C48260B"/>
    <w:rsid w:val="0C5E57C4"/>
    <w:rsid w:val="0C676F35"/>
    <w:rsid w:val="0D354400"/>
    <w:rsid w:val="0D742563"/>
    <w:rsid w:val="0DDE4FD5"/>
    <w:rsid w:val="0E3A4297"/>
    <w:rsid w:val="0E527771"/>
    <w:rsid w:val="0E80608C"/>
    <w:rsid w:val="0E963B01"/>
    <w:rsid w:val="0E9A1704"/>
    <w:rsid w:val="0EA855E3"/>
    <w:rsid w:val="0EB06D04"/>
    <w:rsid w:val="0EE77A81"/>
    <w:rsid w:val="0F220B1B"/>
    <w:rsid w:val="0F2664F6"/>
    <w:rsid w:val="0F277E39"/>
    <w:rsid w:val="0FE268D2"/>
    <w:rsid w:val="103510F8"/>
    <w:rsid w:val="107365F0"/>
    <w:rsid w:val="107B2A34"/>
    <w:rsid w:val="1109680C"/>
    <w:rsid w:val="11296A34"/>
    <w:rsid w:val="117774DD"/>
    <w:rsid w:val="12151156"/>
    <w:rsid w:val="12371157"/>
    <w:rsid w:val="128F4AEF"/>
    <w:rsid w:val="1293615E"/>
    <w:rsid w:val="132135EE"/>
    <w:rsid w:val="137D5290"/>
    <w:rsid w:val="13983E78"/>
    <w:rsid w:val="143815AA"/>
    <w:rsid w:val="14401B9A"/>
    <w:rsid w:val="14E45A3A"/>
    <w:rsid w:val="14E86739"/>
    <w:rsid w:val="14F00C9E"/>
    <w:rsid w:val="151A4A2D"/>
    <w:rsid w:val="159B7C4F"/>
    <w:rsid w:val="15BD5E17"/>
    <w:rsid w:val="160C46A9"/>
    <w:rsid w:val="165A3666"/>
    <w:rsid w:val="1705189F"/>
    <w:rsid w:val="174707F2"/>
    <w:rsid w:val="17602EFE"/>
    <w:rsid w:val="1773377D"/>
    <w:rsid w:val="18DE360D"/>
    <w:rsid w:val="19807C1E"/>
    <w:rsid w:val="19AF1F1B"/>
    <w:rsid w:val="19BE3676"/>
    <w:rsid w:val="1A676352"/>
    <w:rsid w:val="1B1B78AF"/>
    <w:rsid w:val="1B776A68"/>
    <w:rsid w:val="1BCB46BE"/>
    <w:rsid w:val="1C0C42AF"/>
    <w:rsid w:val="1C2370E7"/>
    <w:rsid w:val="1C6F7740"/>
    <w:rsid w:val="1C9D605B"/>
    <w:rsid w:val="1DD27F86"/>
    <w:rsid w:val="1F2B35EE"/>
    <w:rsid w:val="20250841"/>
    <w:rsid w:val="212E7BC9"/>
    <w:rsid w:val="21FA7AAB"/>
    <w:rsid w:val="22566075"/>
    <w:rsid w:val="2291000C"/>
    <w:rsid w:val="22E63BAE"/>
    <w:rsid w:val="23737B15"/>
    <w:rsid w:val="25140F7F"/>
    <w:rsid w:val="276460F3"/>
    <w:rsid w:val="27BB03A7"/>
    <w:rsid w:val="28EF7C3E"/>
    <w:rsid w:val="29114058"/>
    <w:rsid w:val="29224275"/>
    <w:rsid w:val="29657F00"/>
    <w:rsid w:val="296A1CA7"/>
    <w:rsid w:val="29D4444C"/>
    <w:rsid w:val="29D924F1"/>
    <w:rsid w:val="2A0429E6"/>
    <w:rsid w:val="2A1536D4"/>
    <w:rsid w:val="2B3B53BD"/>
    <w:rsid w:val="2BB60EE7"/>
    <w:rsid w:val="2BE32FF5"/>
    <w:rsid w:val="2BEC6A86"/>
    <w:rsid w:val="2C6E68BB"/>
    <w:rsid w:val="2C932FD6"/>
    <w:rsid w:val="2D4542D1"/>
    <w:rsid w:val="2DE7410E"/>
    <w:rsid w:val="2EBC4560"/>
    <w:rsid w:val="2F792957"/>
    <w:rsid w:val="2F9C6646"/>
    <w:rsid w:val="30AB223A"/>
    <w:rsid w:val="30BA4FD6"/>
    <w:rsid w:val="31104BF6"/>
    <w:rsid w:val="31684A32"/>
    <w:rsid w:val="31DB583A"/>
    <w:rsid w:val="325354E0"/>
    <w:rsid w:val="33370B5F"/>
    <w:rsid w:val="333C43C8"/>
    <w:rsid w:val="34140EA1"/>
    <w:rsid w:val="34CA77B1"/>
    <w:rsid w:val="34DB376C"/>
    <w:rsid w:val="35154ED0"/>
    <w:rsid w:val="35301D0A"/>
    <w:rsid w:val="353A4937"/>
    <w:rsid w:val="35D5640E"/>
    <w:rsid w:val="361D67FF"/>
    <w:rsid w:val="36FD6C55"/>
    <w:rsid w:val="37621F23"/>
    <w:rsid w:val="37BF6F64"/>
    <w:rsid w:val="3836588A"/>
    <w:rsid w:val="38606463"/>
    <w:rsid w:val="38B14F10"/>
    <w:rsid w:val="38C74734"/>
    <w:rsid w:val="393C6ED0"/>
    <w:rsid w:val="39B5458C"/>
    <w:rsid w:val="3A4B6C9E"/>
    <w:rsid w:val="3A934624"/>
    <w:rsid w:val="3AAF3FCD"/>
    <w:rsid w:val="3ACF72AE"/>
    <w:rsid w:val="3B190B4B"/>
    <w:rsid w:val="3B6E0E96"/>
    <w:rsid w:val="3B844B5E"/>
    <w:rsid w:val="3CB71834"/>
    <w:rsid w:val="3EC05EAD"/>
    <w:rsid w:val="3F367F1D"/>
    <w:rsid w:val="3F674CB6"/>
    <w:rsid w:val="3FCC6AD3"/>
    <w:rsid w:val="41432DC5"/>
    <w:rsid w:val="41E974C9"/>
    <w:rsid w:val="42162288"/>
    <w:rsid w:val="437600FE"/>
    <w:rsid w:val="43A538C3"/>
    <w:rsid w:val="43C875B2"/>
    <w:rsid w:val="440B1130"/>
    <w:rsid w:val="44CB1108"/>
    <w:rsid w:val="4538077D"/>
    <w:rsid w:val="4556401B"/>
    <w:rsid w:val="468C14EB"/>
    <w:rsid w:val="46E1485D"/>
    <w:rsid w:val="46E22739"/>
    <w:rsid w:val="480F1C53"/>
    <w:rsid w:val="482E032B"/>
    <w:rsid w:val="485D3817"/>
    <w:rsid w:val="487216E8"/>
    <w:rsid w:val="492F0B49"/>
    <w:rsid w:val="49F01366"/>
    <w:rsid w:val="4A3414FD"/>
    <w:rsid w:val="4AD44F71"/>
    <w:rsid w:val="4AE03433"/>
    <w:rsid w:val="4B685203"/>
    <w:rsid w:val="4D0C49B3"/>
    <w:rsid w:val="4D703FFF"/>
    <w:rsid w:val="4E6D3574"/>
    <w:rsid w:val="4E8011B5"/>
    <w:rsid w:val="4F0771E0"/>
    <w:rsid w:val="4F2F3FA1"/>
    <w:rsid w:val="4F624D5E"/>
    <w:rsid w:val="4F674123"/>
    <w:rsid w:val="4FF82FCD"/>
    <w:rsid w:val="50146059"/>
    <w:rsid w:val="50441F68"/>
    <w:rsid w:val="50746AF7"/>
    <w:rsid w:val="51112598"/>
    <w:rsid w:val="51750D79"/>
    <w:rsid w:val="53C05F5A"/>
    <w:rsid w:val="541008E5"/>
    <w:rsid w:val="54216F96"/>
    <w:rsid w:val="5471046A"/>
    <w:rsid w:val="54FC355F"/>
    <w:rsid w:val="55597ADB"/>
    <w:rsid w:val="570E431B"/>
    <w:rsid w:val="573009E7"/>
    <w:rsid w:val="573174F0"/>
    <w:rsid w:val="57AE6D93"/>
    <w:rsid w:val="57DB161B"/>
    <w:rsid w:val="582B090E"/>
    <w:rsid w:val="584512B8"/>
    <w:rsid w:val="58D345D7"/>
    <w:rsid w:val="59593BFC"/>
    <w:rsid w:val="59D23552"/>
    <w:rsid w:val="5A7D47FA"/>
    <w:rsid w:val="5AB87F28"/>
    <w:rsid w:val="5B750AF9"/>
    <w:rsid w:val="5C6043D4"/>
    <w:rsid w:val="5C841E70"/>
    <w:rsid w:val="5CAB1AF3"/>
    <w:rsid w:val="5E1C691D"/>
    <w:rsid w:val="5E5D6E1D"/>
    <w:rsid w:val="5F816B3B"/>
    <w:rsid w:val="600608C4"/>
    <w:rsid w:val="60067040"/>
    <w:rsid w:val="60261490"/>
    <w:rsid w:val="604D0DD3"/>
    <w:rsid w:val="607945BC"/>
    <w:rsid w:val="60844B35"/>
    <w:rsid w:val="609B3C2C"/>
    <w:rsid w:val="617050B9"/>
    <w:rsid w:val="61D145ED"/>
    <w:rsid w:val="61D20F2B"/>
    <w:rsid w:val="62137B25"/>
    <w:rsid w:val="628C5F22"/>
    <w:rsid w:val="6292739D"/>
    <w:rsid w:val="629D1EDE"/>
    <w:rsid w:val="62D376AD"/>
    <w:rsid w:val="62E03578"/>
    <w:rsid w:val="63414F5F"/>
    <w:rsid w:val="637160AB"/>
    <w:rsid w:val="64882719"/>
    <w:rsid w:val="65646CE3"/>
    <w:rsid w:val="65BC6B1F"/>
    <w:rsid w:val="65E44D4C"/>
    <w:rsid w:val="65F067C8"/>
    <w:rsid w:val="65F76563"/>
    <w:rsid w:val="66291CDA"/>
    <w:rsid w:val="663F32AC"/>
    <w:rsid w:val="668D6ECC"/>
    <w:rsid w:val="66A355E9"/>
    <w:rsid w:val="675B4B07"/>
    <w:rsid w:val="677376B1"/>
    <w:rsid w:val="6908207B"/>
    <w:rsid w:val="691722BE"/>
    <w:rsid w:val="69BC750D"/>
    <w:rsid w:val="69E7708D"/>
    <w:rsid w:val="6A276531"/>
    <w:rsid w:val="6B3929BF"/>
    <w:rsid w:val="6C7C0DB6"/>
    <w:rsid w:val="6C9F2CF6"/>
    <w:rsid w:val="6E006A52"/>
    <w:rsid w:val="6EA939B8"/>
    <w:rsid w:val="6F1277AF"/>
    <w:rsid w:val="6F5F177E"/>
    <w:rsid w:val="6F865AA7"/>
    <w:rsid w:val="6FD97A1B"/>
    <w:rsid w:val="6FE32EFA"/>
    <w:rsid w:val="709E186B"/>
    <w:rsid w:val="70AF61D1"/>
    <w:rsid w:val="70C76378"/>
    <w:rsid w:val="70CB21E7"/>
    <w:rsid w:val="70FA499F"/>
    <w:rsid w:val="714479C8"/>
    <w:rsid w:val="714D7E5F"/>
    <w:rsid w:val="716F713B"/>
    <w:rsid w:val="72DD6326"/>
    <w:rsid w:val="746D19CA"/>
    <w:rsid w:val="74784559"/>
    <w:rsid w:val="74D10EC7"/>
    <w:rsid w:val="757E170D"/>
    <w:rsid w:val="75970A0E"/>
    <w:rsid w:val="75DE3F93"/>
    <w:rsid w:val="76236746"/>
    <w:rsid w:val="76317F9B"/>
    <w:rsid w:val="764D1B7C"/>
    <w:rsid w:val="76766876"/>
    <w:rsid w:val="76B86E8E"/>
    <w:rsid w:val="76EF1997"/>
    <w:rsid w:val="76FD6F97"/>
    <w:rsid w:val="770D4C48"/>
    <w:rsid w:val="77505319"/>
    <w:rsid w:val="77534E09"/>
    <w:rsid w:val="77F43101"/>
    <w:rsid w:val="7856695F"/>
    <w:rsid w:val="79314CD6"/>
    <w:rsid w:val="79336CA0"/>
    <w:rsid w:val="794C38BE"/>
    <w:rsid w:val="79996046"/>
    <w:rsid w:val="7AEA5A84"/>
    <w:rsid w:val="7B1448AF"/>
    <w:rsid w:val="7B79577B"/>
    <w:rsid w:val="7CAD036D"/>
    <w:rsid w:val="7CE56BFB"/>
    <w:rsid w:val="7CFE1373"/>
    <w:rsid w:val="7D0D407D"/>
    <w:rsid w:val="7D80447E"/>
    <w:rsid w:val="7E0A649D"/>
    <w:rsid w:val="7EF97CE5"/>
    <w:rsid w:val="7F2D4191"/>
    <w:rsid w:val="7FA64B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qFormat="1" w:uiPriority="99" w:semiHidden="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仿宋_GB2312" w:hAnsi="Times New Roman" w:eastAsia="仿宋_GB2312" w:cs="Times New Roman"/>
      <w:szCs w:val="36"/>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1"/>
    <w:unhideWhenUsed/>
    <w:qFormat/>
    <w:uiPriority w:val="99"/>
    <w:pPr>
      <w:spacing w:after="120"/>
      <w:ind w:left="420" w:leftChars="200"/>
    </w:pPr>
  </w:style>
  <w:style w:type="paragraph" w:styleId="3">
    <w:name w:val="Balloon Text"/>
    <w:basedOn w:val="1"/>
    <w:link w:val="13"/>
    <w:unhideWhenUsed/>
    <w:qFormat/>
    <w:uiPriority w:val="99"/>
    <w:rPr>
      <w:sz w:val="18"/>
      <w:szCs w:val="18"/>
      <w:lang w:val="zh-CN" w:eastAsia="zh-CN"/>
    </w:rPr>
  </w:style>
  <w:style w:type="paragraph" w:styleId="4">
    <w:name w:val="footer"/>
    <w:basedOn w:val="1"/>
    <w:link w:val="14"/>
    <w:unhideWhenUsed/>
    <w:qFormat/>
    <w:uiPriority w:val="0"/>
    <w:pPr>
      <w:tabs>
        <w:tab w:val="center" w:pos="4153"/>
        <w:tab w:val="right" w:pos="8306"/>
      </w:tabs>
      <w:snapToGrid w:val="0"/>
    </w:pPr>
    <w:rPr>
      <w:sz w:val="18"/>
      <w:szCs w:val="18"/>
      <w:lang w:val="zh-CN" w:eastAsia="zh-CN"/>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lang w:val="zh-CN" w:eastAsia="zh-CN"/>
    </w:rPr>
  </w:style>
  <w:style w:type="paragraph" w:styleId="6">
    <w:name w:val="index 9"/>
    <w:basedOn w:val="1"/>
    <w:next w:val="1"/>
    <w:unhideWhenUsed/>
    <w:qFormat/>
    <w:uiPriority w:val="99"/>
    <w:pPr>
      <w:spacing w:before="100" w:beforeAutospacing="1" w:after="100" w:afterAutospacing="1"/>
      <w:ind w:left="1600" w:leftChars="1600"/>
    </w:pPr>
  </w:style>
  <w:style w:type="paragraph" w:styleId="7">
    <w:name w:val="Normal (Web)"/>
    <w:basedOn w:val="1"/>
    <w:qFormat/>
    <w:uiPriority w:val="99"/>
    <w:pPr>
      <w:widowControl w:val="0"/>
      <w:spacing w:beforeAutospacing="1" w:afterAutospacing="1" w:line="360" w:lineRule="auto"/>
    </w:pPr>
    <w:rPr>
      <w:rFonts w:ascii="Calibri" w:hAnsi="Calibri" w:eastAsia="宋体"/>
      <w:sz w:val="24"/>
      <w:szCs w:val="24"/>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 w:type="character" w:customStyle="1" w:styleId="12">
    <w:name w:val="页眉 字符"/>
    <w:link w:val="5"/>
    <w:qFormat/>
    <w:uiPriority w:val="99"/>
    <w:rPr>
      <w:sz w:val="18"/>
      <w:szCs w:val="18"/>
    </w:rPr>
  </w:style>
  <w:style w:type="character" w:customStyle="1" w:styleId="13">
    <w:name w:val="批注框文本 字符"/>
    <w:link w:val="3"/>
    <w:semiHidden/>
    <w:qFormat/>
    <w:uiPriority w:val="99"/>
    <w:rPr>
      <w:sz w:val="18"/>
      <w:szCs w:val="18"/>
    </w:rPr>
  </w:style>
  <w:style w:type="character" w:customStyle="1" w:styleId="14">
    <w:name w:val="页脚 字符1"/>
    <w:link w:val="4"/>
    <w:qFormat/>
    <w:uiPriority w:val="0"/>
    <w:rPr>
      <w:sz w:val="18"/>
      <w:szCs w:val="18"/>
    </w:rPr>
  </w:style>
  <w:style w:type="paragraph" w:customStyle="1" w:styleId="15">
    <w:name w:val="p0"/>
    <w:basedOn w:val="1"/>
    <w:qFormat/>
    <w:uiPriority w:val="0"/>
    <w:pPr>
      <w:spacing w:before="100" w:beforeAutospacing="1" w:after="100" w:afterAutospacing="1" w:line="432" w:lineRule="atLeast"/>
    </w:pPr>
    <w:rPr>
      <w:rFonts w:ascii="宋体" w:hAnsi="宋体" w:eastAsia="宋体" w:cs="宋体"/>
      <w:sz w:val="24"/>
      <w:szCs w:val="24"/>
    </w:rPr>
  </w:style>
  <w:style w:type="paragraph" w:customStyle="1" w:styleId="16">
    <w:name w:val="普通(网站)1"/>
    <w:basedOn w:val="1"/>
    <w:qFormat/>
    <w:uiPriority w:val="0"/>
    <w:pPr>
      <w:spacing w:before="100" w:beforeAutospacing="1" w:after="100" w:afterAutospacing="1"/>
    </w:pPr>
    <w:rPr>
      <w:rFonts w:ascii="宋体" w:hAnsi="宋体" w:eastAsia="宋体"/>
      <w:sz w:val="24"/>
      <w:szCs w:val="22"/>
    </w:rPr>
  </w:style>
  <w:style w:type="paragraph" w:customStyle="1" w:styleId="17">
    <w:name w:val="列出段落1"/>
    <w:basedOn w:val="1"/>
    <w:qFormat/>
    <w:uiPriority w:val="0"/>
    <w:pPr>
      <w:widowControl w:val="0"/>
      <w:ind w:firstLine="420" w:firstLineChars="200"/>
      <w:jc w:val="both"/>
    </w:pPr>
    <w:rPr>
      <w:rFonts w:ascii="Times New Roman" w:eastAsia="宋体"/>
      <w:kern w:val="2"/>
      <w:sz w:val="21"/>
      <w:szCs w:val="21"/>
    </w:rPr>
  </w:style>
  <w:style w:type="character" w:customStyle="1" w:styleId="18">
    <w:name w:val="页脚 字符"/>
    <w:qFormat/>
    <w:uiPriority w:val="99"/>
    <w:rPr>
      <w:sz w:val="18"/>
      <w:szCs w:val="18"/>
    </w:rPr>
  </w:style>
  <w:style w:type="paragraph" w:customStyle="1" w:styleId="19">
    <w:name w:val="Other|1"/>
    <w:basedOn w:val="1"/>
    <w:qFormat/>
    <w:uiPriority w:val="0"/>
    <w:pPr>
      <w:widowControl w:val="0"/>
      <w:spacing w:line="410" w:lineRule="auto"/>
      <w:ind w:firstLine="400"/>
    </w:pPr>
    <w:rPr>
      <w:rFonts w:ascii="宋体" w:hAnsi="宋体" w:eastAsia="宋体" w:cs="宋体"/>
      <w:color w:val="000000"/>
      <w:sz w:val="30"/>
      <w:szCs w:val="30"/>
      <w:lang w:val="zh-TW" w:eastAsia="zh-TW" w:bidi="zh-TW"/>
    </w:rPr>
  </w:style>
  <w:style w:type="paragraph" w:customStyle="1" w:styleId="20">
    <w:name w:val="Body text|1"/>
    <w:basedOn w:val="1"/>
    <w:qFormat/>
    <w:uiPriority w:val="0"/>
    <w:pPr>
      <w:widowControl w:val="0"/>
      <w:spacing w:line="410" w:lineRule="auto"/>
      <w:ind w:firstLine="400"/>
    </w:pPr>
    <w:rPr>
      <w:rFonts w:ascii="宋体" w:hAnsi="宋体" w:eastAsia="宋体" w:cs="宋体"/>
      <w:color w:val="000000"/>
      <w:sz w:val="30"/>
      <w:szCs w:val="30"/>
      <w:lang w:val="zh-TW" w:eastAsia="zh-TW" w:bidi="zh-TW"/>
    </w:rPr>
  </w:style>
  <w:style w:type="paragraph" w:styleId="21">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styleId="22">
    <w:name w:val="List Paragraph"/>
    <w:basedOn w:val="1"/>
    <w:autoRedefine/>
    <w:qFormat/>
    <w:uiPriority w:val="34"/>
    <w:pPr>
      <w:ind w:firstLine="420" w:firstLineChars="200"/>
    </w:pPr>
  </w:style>
  <w:style w:type="paragraph" w:customStyle="1" w:styleId="23">
    <w:name w:val="null5"/>
    <w:hidden/>
    <w:qFormat/>
    <w:uiPriority w:val="0"/>
    <w:rPr>
      <w:rFonts w:hint="eastAsia" w:asciiTheme="minorHAnsi" w:hAnsiTheme="minorHAnsi" w:eastAsiaTheme="minorEastAsia" w:cstheme="minorBidi"/>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6A4480-D02E-4F5C-BB25-7D4A8B5C26DE}">
  <ds:schemaRefs/>
</ds:datastoreItem>
</file>

<file path=docProps/app.xml><?xml version="1.0" encoding="utf-8"?>
<Properties xmlns="http://schemas.openxmlformats.org/officeDocument/2006/extended-properties" xmlns:vt="http://schemas.openxmlformats.org/officeDocument/2006/docPropsVTypes">
  <Template>Normal</Template>
  <Company>sdnu</Company>
  <Pages>8</Pages>
  <Words>4048</Words>
  <Characters>4555</Characters>
  <Lines>5</Lines>
  <Paragraphs>1</Paragraphs>
  <TotalTime>0</TotalTime>
  <ScaleCrop>false</ScaleCrop>
  <LinksUpToDate>false</LinksUpToDate>
  <CharactersWithSpaces>4593</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2022-03-09T09:39:00Z</dcterms:created>
  <dc:creator>wangsong</dc:creator>
  <cp:lastModifiedBy>lenovo</cp:lastModifiedBy>
  <cp:lastPrinted>2019-06-19T06:00:00Z</cp:lastPrinted>
  <dcterms:modified xsi:type="dcterms:W3CDTF">2026-10-21T10:06:38Z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F5CCC6ECE8C74C1295DE148927583D7C_13</vt:lpwstr>
  </property>
  <property fmtid="{D5CDD505-2E9C-101B-9397-08002B2CF9AE}" pid="4" name="KSOTemplateDocerSaveRecord">
    <vt:lpwstr>eyJoZGlkIjoiZTZiYWFkODJjYjQ5YjQxZGZhZGNkOTgwZGM0ZmY2ZTUiLCJ1c2VySWQiOiI5MDk3ODE1NTEifQ==</vt:lpwstr>
  </property>
</Properties>
</file>