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BECFA8">
      <w:pPr>
        <w:widowControl w:val="0"/>
        <w:overflowPunct w:val="0"/>
        <w:spacing w:line="360" w:lineRule="auto"/>
        <w:jc w:val="center"/>
        <w:rPr>
          <w:rFonts w:ascii="宋体" w:hAnsi="宋体" w:eastAsia="宋体" w:cs="宋体"/>
          <w:b/>
          <w:bCs/>
          <w:spacing w:val="20"/>
          <w:sz w:val="40"/>
          <w:szCs w:val="40"/>
        </w:rPr>
      </w:pPr>
      <w:r>
        <w:rPr>
          <w:rFonts w:hint="eastAsia" w:ascii="宋体" w:hAnsi="宋体" w:eastAsia="宋体" w:cs="宋体"/>
          <w:b/>
          <w:bCs/>
          <w:spacing w:val="20"/>
          <w:sz w:val="40"/>
          <w:szCs w:val="40"/>
        </w:rPr>
        <w:t>山东师范大学招标采购项目需求公示表</w:t>
      </w:r>
    </w:p>
    <w:p w14:paraId="36315200">
      <w:pPr>
        <w:rPr>
          <w:rFonts w:ascii="宋体" w:hAnsi="宋体" w:eastAsia="宋体" w:cs="宋体"/>
          <w:b/>
          <w:sz w:val="24"/>
          <w:szCs w:val="24"/>
        </w:rPr>
      </w:pPr>
      <w:r>
        <w:rPr>
          <w:rFonts w:hint="eastAsia" w:ascii="宋体" w:hAnsi="宋体" w:eastAsia="宋体" w:cs="宋体"/>
          <w:b/>
          <w:sz w:val="24"/>
          <w:szCs w:val="24"/>
        </w:rPr>
        <w:t>编号:SDSL-2026-216</w:t>
      </w:r>
    </w:p>
    <w:tbl>
      <w:tblPr>
        <w:tblStyle w:val="9"/>
        <w:tblW w:w="13812" w:type="dxa"/>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61"/>
        <w:gridCol w:w="2584"/>
        <w:gridCol w:w="1119"/>
        <w:gridCol w:w="1827"/>
        <w:gridCol w:w="2126"/>
        <w:gridCol w:w="2605"/>
        <w:gridCol w:w="2790"/>
      </w:tblGrid>
      <w:tr w14:paraId="7726D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13812" w:type="dxa"/>
            <w:gridSpan w:val="7"/>
            <w:shd w:val="clear" w:color="auto" w:fill="FFFFFF"/>
            <w:vAlign w:val="center"/>
          </w:tcPr>
          <w:p w14:paraId="1D23880B">
            <w:pPr>
              <w:pStyle w:val="21"/>
              <w:spacing w:line="360" w:lineRule="exact"/>
              <w:ind w:firstLine="0"/>
              <w:jc w:val="center"/>
              <w:textAlignment w:val="center"/>
              <w:rPr>
                <w:color w:val="auto"/>
                <w:sz w:val="24"/>
                <w:szCs w:val="24"/>
                <w:lang w:eastAsia="zh-CN"/>
              </w:rPr>
            </w:pPr>
            <w:r>
              <w:rPr>
                <w:rFonts w:hint="eastAsia"/>
                <w:b/>
                <w:bCs/>
                <w:color w:val="auto"/>
                <w:sz w:val="28"/>
                <w:szCs w:val="28"/>
              </w:rPr>
              <w:t>基本情况</w:t>
            </w:r>
          </w:p>
        </w:tc>
      </w:tr>
      <w:tr w14:paraId="34A63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3345" w:type="dxa"/>
            <w:gridSpan w:val="2"/>
            <w:shd w:val="clear" w:color="auto" w:fill="FFFFFF"/>
            <w:vAlign w:val="center"/>
          </w:tcPr>
          <w:p w14:paraId="27237640">
            <w:pPr>
              <w:pStyle w:val="22"/>
              <w:spacing w:line="360" w:lineRule="exact"/>
              <w:ind w:firstLine="0"/>
              <w:textAlignment w:val="center"/>
              <w:rPr>
                <w:b/>
                <w:bCs/>
                <w:color w:val="auto"/>
                <w:sz w:val="24"/>
                <w:szCs w:val="24"/>
                <w:lang w:eastAsia="zh-CN"/>
              </w:rPr>
            </w:pPr>
            <w:r>
              <w:rPr>
                <w:rFonts w:hint="eastAsia"/>
                <w:b/>
                <w:bCs/>
                <w:color w:val="auto"/>
                <w:sz w:val="24"/>
                <w:szCs w:val="24"/>
              </w:rPr>
              <w:t>项目名称</w:t>
            </w:r>
          </w:p>
        </w:tc>
        <w:tc>
          <w:tcPr>
            <w:tcW w:w="10467" w:type="dxa"/>
            <w:gridSpan w:val="5"/>
            <w:shd w:val="clear" w:color="auto" w:fill="FFFFFF"/>
            <w:vAlign w:val="center"/>
          </w:tcPr>
          <w:p w14:paraId="167C2BBA">
            <w:pPr>
              <w:pStyle w:val="22"/>
              <w:overflowPunct w:val="0"/>
              <w:spacing w:line="400" w:lineRule="exact"/>
              <w:ind w:firstLine="0"/>
              <w:jc w:val="both"/>
              <w:rPr>
                <w:color w:val="auto"/>
                <w:sz w:val="24"/>
                <w:szCs w:val="24"/>
                <w:lang w:eastAsia="zh-CN"/>
              </w:rPr>
            </w:pPr>
            <w:r>
              <w:rPr>
                <w:rFonts w:hint="eastAsia"/>
                <w:bCs/>
                <w:color w:val="auto"/>
                <w:sz w:val="24"/>
                <w:lang w:eastAsia="zh-CN"/>
              </w:rPr>
              <w:t>山东师范大学2026年物电学院化学机械研磨抛光机采购项目</w:t>
            </w:r>
          </w:p>
        </w:tc>
      </w:tr>
      <w:tr w14:paraId="5D760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3345" w:type="dxa"/>
            <w:gridSpan w:val="2"/>
            <w:shd w:val="clear" w:color="auto" w:fill="FFFFFF"/>
            <w:vAlign w:val="center"/>
          </w:tcPr>
          <w:p w14:paraId="6728648A">
            <w:pPr>
              <w:pStyle w:val="22"/>
              <w:spacing w:line="360" w:lineRule="exact"/>
              <w:ind w:firstLine="0"/>
              <w:textAlignment w:val="center"/>
              <w:rPr>
                <w:b/>
                <w:bCs/>
                <w:color w:val="auto"/>
                <w:sz w:val="24"/>
                <w:szCs w:val="24"/>
              </w:rPr>
            </w:pPr>
            <w:r>
              <w:rPr>
                <w:rFonts w:hint="eastAsia"/>
                <w:b/>
                <w:bCs/>
                <w:color w:val="auto"/>
                <w:sz w:val="24"/>
                <w:szCs w:val="24"/>
              </w:rPr>
              <w:t>项目主管单位</w:t>
            </w:r>
          </w:p>
        </w:tc>
        <w:tc>
          <w:tcPr>
            <w:tcW w:w="10467" w:type="dxa"/>
            <w:gridSpan w:val="5"/>
            <w:shd w:val="clear" w:color="auto" w:fill="FFFFFF"/>
            <w:vAlign w:val="center"/>
          </w:tcPr>
          <w:p w14:paraId="13A5DF59">
            <w:pPr>
              <w:pStyle w:val="22"/>
              <w:overflowPunct w:val="0"/>
              <w:spacing w:line="400" w:lineRule="exact"/>
              <w:ind w:firstLine="0"/>
              <w:jc w:val="both"/>
              <w:rPr>
                <w:color w:val="auto"/>
                <w:sz w:val="24"/>
                <w:szCs w:val="24"/>
                <w:lang w:eastAsia="zh-CN"/>
              </w:rPr>
            </w:pPr>
            <w:r>
              <w:rPr>
                <w:rFonts w:hint="eastAsia"/>
                <w:bCs/>
                <w:color w:val="auto"/>
                <w:sz w:val="24"/>
                <w:lang w:eastAsia="zh-CN"/>
              </w:rPr>
              <w:t>物电学院</w:t>
            </w:r>
          </w:p>
        </w:tc>
      </w:tr>
      <w:tr w14:paraId="6423E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3345" w:type="dxa"/>
            <w:gridSpan w:val="2"/>
            <w:shd w:val="clear" w:color="auto" w:fill="FFFFFF"/>
            <w:vAlign w:val="center"/>
          </w:tcPr>
          <w:p w14:paraId="149CB576">
            <w:pPr>
              <w:pStyle w:val="22"/>
              <w:spacing w:line="360" w:lineRule="exact"/>
              <w:ind w:firstLine="0"/>
              <w:textAlignment w:val="center"/>
              <w:rPr>
                <w:b/>
                <w:bCs/>
                <w:color w:val="auto"/>
                <w:sz w:val="24"/>
                <w:szCs w:val="24"/>
              </w:rPr>
            </w:pPr>
            <w:r>
              <w:rPr>
                <w:rFonts w:hint="eastAsia"/>
                <w:b/>
                <w:bCs/>
                <w:color w:val="auto"/>
                <w:sz w:val="24"/>
                <w:szCs w:val="24"/>
              </w:rPr>
              <w:t>第三方咨询服务单位</w:t>
            </w:r>
          </w:p>
        </w:tc>
        <w:tc>
          <w:tcPr>
            <w:tcW w:w="10467" w:type="dxa"/>
            <w:gridSpan w:val="5"/>
            <w:shd w:val="clear" w:color="auto" w:fill="FFFFFF"/>
            <w:vAlign w:val="center"/>
          </w:tcPr>
          <w:p w14:paraId="5AEA2896">
            <w:pPr>
              <w:pStyle w:val="22"/>
              <w:overflowPunct w:val="0"/>
              <w:spacing w:line="400" w:lineRule="exact"/>
              <w:ind w:firstLine="0"/>
              <w:jc w:val="both"/>
              <w:rPr>
                <w:color w:val="auto"/>
                <w:sz w:val="24"/>
                <w:szCs w:val="24"/>
              </w:rPr>
            </w:pPr>
            <w:r>
              <w:rPr>
                <w:bCs/>
                <w:color w:val="auto"/>
                <w:sz w:val="24"/>
              </w:rPr>
              <w:t>山东善立招标有限公司</w:t>
            </w:r>
          </w:p>
        </w:tc>
      </w:tr>
      <w:tr w14:paraId="30C29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13812" w:type="dxa"/>
            <w:gridSpan w:val="7"/>
            <w:shd w:val="clear" w:color="auto" w:fill="FFFFFF"/>
            <w:vAlign w:val="center"/>
          </w:tcPr>
          <w:p w14:paraId="51AB3950">
            <w:pPr>
              <w:pStyle w:val="22"/>
              <w:spacing w:line="360" w:lineRule="exact"/>
              <w:ind w:firstLine="0"/>
              <w:jc w:val="center"/>
              <w:textAlignment w:val="center"/>
              <w:rPr>
                <w:color w:val="auto"/>
                <w:sz w:val="24"/>
                <w:szCs w:val="24"/>
                <w:lang w:val="en-US" w:bidi="en-US"/>
              </w:rPr>
            </w:pPr>
            <w:r>
              <w:rPr>
                <w:rFonts w:hint="eastAsia"/>
                <w:b/>
                <w:bCs/>
                <w:color w:val="auto"/>
                <w:sz w:val="28"/>
                <w:szCs w:val="28"/>
              </w:rPr>
              <w:t>项目信息</w:t>
            </w:r>
          </w:p>
        </w:tc>
      </w:tr>
      <w:tr w14:paraId="701A5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761" w:type="dxa"/>
            <w:shd w:val="clear" w:color="auto" w:fill="FFFFFF"/>
            <w:vAlign w:val="center"/>
          </w:tcPr>
          <w:p w14:paraId="34AE755F">
            <w:pPr>
              <w:pStyle w:val="21"/>
              <w:spacing w:line="360" w:lineRule="exact"/>
              <w:ind w:firstLine="0"/>
              <w:jc w:val="center"/>
              <w:textAlignment w:val="center"/>
              <w:rPr>
                <w:b/>
                <w:bCs/>
                <w:color w:val="auto"/>
                <w:sz w:val="24"/>
                <w:szCs w:val="24"/>
              </w:rPr>
            </w:pPr>
            <w:r>
              <w:rPr>
                <w:rFonts w:hint="eastAsia"/>
                <w:b/>
                <w:bCs/>
                <w:color w:val="auto"/>
                <w:sz w:val="24"/>
                <w:szCs w:val="24"/>
              </w:rPr>
              <w:t>包号</w:t>
            </w:r>
          </w:p>
        </w:tc>
        <w:tc>
          <w:tcPr>
            <w:tcW w:w="2584" w:type="dxa"/>
            <w:shd w:val="clear" w:color="auto" w:fill="FFFFFF"/>
            <w:vAlign w:val="center"/>
          </w:tcPr>
          <w:p w14:paraId="23D998ED">
            <w:pPr>
              <w:pStyle w:val="21"/>
              <w:spacing w:line="360" w:lineRule="exact"/>
              <w:ind w:firstLine="0"/>
              <w:jc w:val="center"/>
              <w:textAlignment w:val="center"/>
              <w:rPr>
                <w:b/>
                <w:bCs/>
                <w:color w:val="auto"/>
                <w:sz w:val="24"/>
                <w:szCs w:val="24"/>
              </w:rPr>
            </w:pPr>
            <w:r>
              <w:rPr>
                <w:rFonts w:hint="eastAsia"/>
                <w:b/>
                <w:bCs/>
                <w:color w:val="auto"/>
                <w:sz w:val="24"/>
                <w:szCs w:val="24"/>
              </w:rPr>
              <w:t>标的名称</w:t>
            </w:r>
          </w:p>
        </w:tc>
        <w:tc>
          <w:tcPr>
            <w:tcW w:w="1119" w:type="dxa"/>
            <w:shd w:val="clear" w:color="auto" w:fill="FFFFFF"/>
            <w:vAlign w:val="center"/>
          </w:tcPr>
          <w:p w14:paraId="6DCC86A6">
            <w:pPr>
              <w:pStyle w:val="21"/>
              <w:spacing w:line="360" w:lineRule="exact"/>
              <w:ind w:firstLine="0"/>
              <w:jc w:val="center"/>
              <w:textAlignment w:val="center"/>
              <w:rPr>
                <w:b/>
                <w:bCs/>
                <w:color w:val="auto"/>
                <w:sz w:val="24"/>
                <w:szCs w:val="24"/>
              </w:rPr>
            </w:pPr>
            <w:r>
              <w:rPr>
                <w:rFonts w:hint="eastAsia"/>
                <w:b/>
                <w:bCs/>
                <w:color w:val="auto"/>
                <w:sz w:val="24"/>
                <w:szCs w:val="24"/>
              </w:rPr>
              <w:t>数量</w:t>
            </w:r>
          </w:p>
        </w:tc>
        <w:tc>
          <w:tcPr>
            <w:tcW w:w="1827" w:type="dxa"/>
            <w:shd w:val="clear" w:color="auto" w:fill="FFFFFF"/>
            <w:vAlign w:val="center"/>
          </w:tcPr>
          <w:p w14:paraId="5A56843E">
            <w:pPr>
              <w:pStyle w:val="21"/>
              <w:spacing w:line="360" w:lineRule="exact"/>
              <w:ind w:firstLine="0"/>
              <w:jc w:val="center"/>
              <w:textAlignment w:val="center"/>
              <w:rPr>
                <w:b/>
                <w:bCs/>
                <w:color w:val="auto"/>
                <w:sz w:val="24"/>
                <w:szCs w:val="24"/>
              </w:rPr>
            </w:pPr>
            <w:r>
              <w:rPr>
                <w:rFonts w:hint="eastAsia"/>
                <w:b/>
                <w:bCs/>
                <w:color w:val="auto"/>
                <w:sz w:val="24"/>
                <w:szCs w:val="24"/>
              </w:rPr>
              <w:t>是否</w:t>
            </w:r>
            <w:r>
              <w:rPr>
                <w:rFonts w:hint="eastAsia"/>
                <w:b/>
                <w:bCs/>
                <w:color w:val="auto"/>
                <w:sz w:val="24"/>
                <w:szCs w:val="24"/>
                <w:lang w:val="en-US" w:eastAsia="zh-CN"/>
              </w:rPr>
              <w:t>允许</w:t>
            </w:r>
            <w:r>
              <w:rPr>
                <w:rFonts w:hint="eastAsia"/>
                <w:b/>
                <w:bCs/>
                <w:color w:val="auto"/>
                <w:sz w:val="24"/>
                <w:szCs w:val="24"/>
              </w:rPr>
              <w:t>进口</w:t>
            </w:r>
          </w:p>
        </w:tc>
        <w:tc>
          <w:tcPr>
            <w:tcW w:w="2126" w:type="dxa"/>
            <w:shd w:val="clear" w:color="auto" w:fill="FFFFFF"/>
            <w:vAlign w:val="center"/>
          </w:tcPr>
          <w:p w14:paraId="441C14C4">
            <w:pPr>
              <w:pStyle w:val="21"/>
              <w:spacing w:line="360" w:lineRule="exact"/>
              <w:ind w:firstLine="0"/>
              <w:jc w:val="center"/>
              <w:textAlignment w:val="center"/>
              <w:rPr>
                <w:b/>
                <w:bCs/>
                <w:color w:val="auto"/>
                <w:sz w:val="24"/>
                <w:szCs w:val="24"/>
              </w:rPr>
            </w:pPr>
            <w:r>
              <w:rPr>
                <w:rFonts w:hint="eastAsia"/>
                <w:b/>
                <w:bCs/>
                <w:color w:val="auto"/>
                <w:sz w:val="24"/>
                <w:szCs w:val="24"/>
              </w:rPr>
              <w:t>是否创新产品</w:t>
            </w:r>
          </w:p>
        </w:tc>
        <w:tc>
          <w:tcPr>
            <w:tcW w:w="2605" w:type="dxa"/>
            <w:shd w:val="clear" w:color="auto" w:fill="FFFFFF"/>
            <w:vAlign w:val="center"/>
          </w:tcPr>
          <w:p w14:paraId="04557FAB">
            <w:pPr>
              <w:pStyle w:val="21"/>
              <w:spacing w:line="360" w:lineRule="exact"/>
              <w:ind w:firstLine="0"/>
              <w:jc w:val="center"/>
              <w:textAlignment w:val="center"/>
              <w:rPr>
                <w:b/>
                <w:bCs/>
                <w:color w:val="auto"/>
                <w:sz w:val="24"/>
                <w:szCs w:val="24"/>
              </w:rPr>
            </w:pPr>
            <w:r>
              <w:rPr>
                <w:rFonts w:hint="eastAsia"/>
                <w:b/>
                <w:bCs/>
                <w:color w:val="auto"/>
                <w:sz w:val="24"/>
                <w:szCs w:val="24"/>
              </w:rPr>
              <w:t>是否专门面向中小微或预留份额</w:t>
            </w:r>
          </w:p>
        </w:tc>
        <w:tc>
          <w:tcPr>
            <w:tcW w:w="2790" w:type="dxa"/>
            <w:shd w:val="clear" w:color="auto" w:fill="FFFFFF"/>
            <w:vAlign w:val="center"/>
          </w:tcPr>
          <w:p w14:paraId="5F0F7C24">
            <w:pPr>
              <w:pStyle w:val="21"/>
              <w:spacing w:line="360" w:lineRule="exact"/>
              <w:ind w:firstLine="0"/>
              <w:jc w:val="center"/>
              <w:textAlignment w:val="center"/>
              <w:rPr>
                <w:b/>
                <w:bCs/>
                <w:color w:val="auto"/>
                <w:sz w:val="24"/>
                <w:szCs w:val="24"/>
              </w:rPr>
            </w:pPr>
            <w:r>
              <w:rPr>
                <w:rFonts w:hint="eastAsia"/>
                <w:b/>
                <w:bCs/>
                <w:color w:val="auto"/>
                <w:sz w:val="24"/>
                <w:szCs w:val="24"/>
              </w:rPr>
              <w:t>预算金额（最高限价）</w:t>
            </w:r>
          </w:p>
        </w:tc>
      </w:tr>
      <w:tr w14:paraId="3C06F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5" w:hRule="atLeast"/>
        </w:trPr>
        <w:tc>
          <w:tcPr>
            <w:tcW w:w="761" w:type="dxa"/>
            <w:vMerge w:val="restart"/>
            <w:shd w:val="clear" w:color="auto" w:fill="FFFFFF"/>
            <w:vAlign w:val="center"/>
          </w:tcPr>
          <w:p w14:paraId="3D093BEA">
            <w:pPr>
              <w:spacing w:line="360" w:lineRule="exact"/>
              <w:jc w:val="center"/>
              <w:textAlignment w:val="center"/>
              <w:rPr>
                <w:rFonts w:ascii="宋体" w:hAnsi="宋体" w:eastAsia="宋体" w:cs="宋体"/>
                <w:sz w:val="24"/>
                <w:szCs w:val="24"/>
              </w:rPr>
            </w:pPr>
            <w:r>
              <w:rPr>
                <w:rFonts w:hint="eastAsia" w:ascii="宋体" w:hAnsi="宋体" w:eastAsia="宋体" w:cs="宋体"/>
                <w:sz w:val="24"/>
                <w:szCs w:val="24"/>
              </w:rPr>
              <w:t>1包</w:t>
            </w:r>
          </w:p>
        </w:tc>
        <w:tc>
          <w:tcPr>
            <w:tcW w:w="2584" w:type="dxa"/>
            <w:shd w:val="clear" w:color="auto" w:fill="FFFFFF"/>
            <w:vAlign w:val="center"/>
          </w:tcPr>
          <w:p w14:paraId="264C43AC">
            <w:pPr>
              <w:pStyle w:val="22"/>
              <w:overflowPunct w:val="0"/>
              <w:spacing w:line="400" w:lineRule="exact"/>
              <w:ind w:firstLine="0"/>
              <w:jc w:val="center"/>
              <w:rPr>
                <w:bCs/>
                <w:color w:val="auto"/>
                <w:sz w:val="24"/>
              </w:rPr>
            </w:pPr>
            <w:r>
              <w:rPr>
                <w:rFonts w:hint="eastAsia"/>
                <w:bCs/>
                <w:color w:val="auto"/>
                <w:sz w:val="24"/>
              </w:rPr>
              <w:t>显微成像系统</w:t>
            </w:r>
          </w:p>
        </w:tc>
        <w:tc>
          <w:tcPr>
            <w:tcW w:w="1119" w:type="dxa"/>
            <w:shd w:val="clear" w:color="auto" w:fill="FFFFFF"/>
            <w:vAlign w:val="center"/>
          </w:tcPr>
          <w:p w14:paraId="56CCD1C9">
            <w:pPr>
              <w:pStyle w:val="22"/>
              <w:overflowPunct w:val="0"/>
              <w:spacing w:line="400" w:lineRule="exact"/>
              <w:ind w:firstLine="0"/>
              <w:jc w:val="center"/>
              <w:rPr>
                <w:bCs/>
                <w:color w:val="auto"/>
                <w:sz w:val="24"/>
                <w:lang w:val="en-US" w:eastAsia="zh-CN"/>
              </w:rPr>
            </w:pPr>
            <w:r>
              <w:rPr>
                <w:rFonts w:hint="eastAsia"/>
                <w:bCs/>
                <w:color w:val="auto"/>
                <w:sz w:val="24"/>
                <w:lang w:val="en-US" w:eastAsia="zh-CN"/>
              </w:rPr>
              <w:t>1</w:t>
            </w:r>
            <w:r>
              <w:rPr>
                <w:rFonts w:hint="eastAsia"/>
                <w:bCs/>
                <w:color w:val="auto"/>
                <w:sz w:val="24"/>
              </w:rPr>
              <w:t>套</w:t>
            </w:r>
          </w:p>
        </w:tc>
        <w:tc>
          <w:tcPr>
            <w:tcW w:w="1827" w:type="dxa"/>
            <w:shd w:val="clear" w:color="auto" w:fill="FFFFFF"/>
            <w:vAlign w:val="center"/>
          </w:tcPr>
          <w:p w14:paraId="0A98DD9F">
            <w:pPr>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否</w:t>
            </w:r>
          </w:p>
        </w:tc>
        <w:tc>
          <w:tcPr>
            <w:tcW w:w="2126" w:type="dxa"/>
            <w:shd w:val="clear" w:color="auto" w:fill="FFFFFF"/>
            <w:vAlign w:val="center"/>
          </w:tcPr>
          <w:p w14:paraId="257AC8D2">
            <w:pPr>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否</w:t>
            </w:r>
          </w:p>
        </w:tc>
        <w:tc>
          <w:tcPr>
            <w:tcW w:w="2605" w:type="dxa"/>
            <w:shd w:val="clear" w:color="auto" w:fill="FFFFFF"/>
            <w:vAlign w:val="center"/>
          </w:tcPr>
          <w:p w14:paraId="7276F2A2">
            <w:pPr>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否</w:t>
            </w:r>
          </w:p>
        </w:tc>
        <w:tc>
          <w:tcPr>
            <w:tcW w:w="2790" w:type="dxa"/>
            <w:vMerge w:val="restart"/>
            <w:shd w:val="clear" w:color="auto" w:fill="FFFFFF"/>
            <w:vAlign w:val="center"/>
          </w:tcPr>
          <w:p w14:paraId="58472297">
            <w:pPr>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452.00万元</w:t>
            </w:r>
          </w:p>
        </w:tc>
      </w:tr>
      <w:tr w14:paraId="028C3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5" w:hRule="atLeast"/>
        </w:trPr>
        <w:tc>
          <w:tcPr>
            <w:tcW w:w="761" w:type="dxa"/>
            <w:vMerge w:val="continue"/>
            <w:shd w:val="clear" w:color="auto" w:fill="FFFFFF"/>
            <w:vAlign w:val="center"/>
          </w:tcPr>
          <w:p w14:paraId="715351B5">
            <w:pPr>
              <w:spacing w:line="360" w:lineRule="exact"/>
              <w:jc w:val="center"/>
              <w:textAlignment w:val="center"/>
              <w:rPr>
                <w:rFonts w:ascii="宋体" w:hAnsi="宋体" w:eastAsia="宋体" w:cs="宋体"/>
                <w:sz w:val="24"/>
                <w:szCs w:val="24"/>
              </w:rPr>
            </w:pPr>
          </w:p>
        </w:tc>
        <w:tc>
          <w:tcPr>
            <w:tcW w:w="2584" w:type="dxa"/>
            <w:shd w:val="clear" w:color="auto" w:fill="FFFFFF"/>
            <w:vAlign w:val="center"/>
          </w:tcPr>
          <w:p w14:paraId="24727D86">
            <w:pPr>
              <w:pStyle w:val="22"/>
              <w:overflowPunct w:val="0"/>
              <w:spacing w:line="400" w:lineRule="exact"/>
              <w:ind w:firstLine="0"/>
              <w:jc w:val="center"/>
              <w:rPr>
                <w:bCs/>
                <w:color w:val="auto"/>
                <w:sz w:val="24"/>
                <w:lang w:eastAsia="zh-CN"/>
              </w:rPr>
            </w:pPr>
            <w:r>
              <w:rPr>
                <w:rFonts w:hint="eastAsia"/>
                <w:bCs/>
                <w:color w:val="auto"/>
                <w:sz w:val="24"/>
              </w:rPr>
              <w:t>化学机械研磨抛光机</w:t>
            </w:r>
          </w:p>
        </w:tc>
        <w:tc>
          <w:tcPr>
            <w:tcW w:w="1119" w:type="dxa"/>
            <w:shd w:val="clear" w:color="auto" w:fill="FFFFFF"/>
            <w:vAlign w:val="center"/>
          </w:tcPr>
          <w:p w14:paraId="57463F64">
            <w:pPr>
              <w:pStyle w:val="22"/>
              <w:overflowPunct w:val="0"/>
              <w:spacing w:line="400" w:lineRule="exact"/>
              <w:ind w:firstLine="0"/>
              <w:jc w:val="center"/>
              <w:rPr>
                <w:bCs/>
                <w:color w:val="auto"/>
                <w:sz w:val="24"/>
              </w:rPr>
            </w:pPr>
            <w:r>
              <w:rPr>
                <w:rFonts w:hint="eastAsia"/>
                <w:bCs/>
                <w:color w:val="auto"/>
                <w:sz w:val="24"/>
                <w:lang w:val="en-US" w:eastAsia="zh-CN"/>
              </w:rPr>
              <w:t>1</w:t>
            </w:r>
            <w:r>
              <w:rPr>
                <w:rFonts w:hint="eastAsia"/>
                <w:bCs/>
                <w:color w:val="auto"/>
                <w:sz w:val="24"/>
              </w:rPr>
              <w:t>套</w:t>
            </w:r>
          </w:p>
        </w:tc>
        <w:tc>
          <w:tcPr>
            <w:tcW w:w="1827" w:type="dxa"/>
            <w:shd w:val="clear" w:color="auto" w:fill="FFFFFF"/>
            <w:vAlign w:val="center"/>
          </w:tcPr>
          <w:p w14:paraId="3CFAC4A2">
            <w:pPr>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否</w:t>
            </w:r>
          </w:p>
        </w:tc>
        <w:tc>
          <w:tcPr>
            <w:tcW w:w="2126" w:type="dxa"/>
            <w:shd w:val="clear" w:color="auto" w:fill="FFFFFF"/>
            <w:vAlign w:val="center"/>
          </w:tcPr>
          <w:p w14:paraId="7B564481">
            <w:pPr>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否</w:t>
            </w:r>
          </w:p>
        </w:tc>
        <w:tc>
          <w:tcPr>
            <w:tcW w:w="2605" w:type="dxa"/>
            <w:shd w:val="clear" w:color="auto" w:fill="FFFFFF"/>
            <w:vAlign w:val="center"/>
          </w:tcPr>
          <w:p w14:paraId="378EF7E8">
            <w:pPr>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否</w:t>
            </w:r>
          </w:p>
        </w:tc>
        <w:tc>
          <w:tcPr>
            <w:tcW w:w="2790" w:type="dxa"/>
            <w:vMerge w:val="continue"/>
            <w:shd w:val="clear" w:color="auto" w:fill="FFFFFF"/>
            <w:vAlign w:val="center"/>
          </w:tcPr>
          <w:p w14:paraId="02C9609E">
            <w:pPr>
              <w:jc w:val="center"/>
              <w:textAlignment w:val="center"/>
              <w:rPr>
                <w:rFonts w:ascii="宋体" w:hAnsi="宋体" w:eastAsia="宋体" w:cs="宋体"/>
                <w:sz w:val="24"/>
                <w:szCs w:val="24"/>
                <w:lang w:bidi="ar"/>
              </w:rPr>
            </w:pPr>
          </w:p>
        </w:tc>
      </w:tr>
      <w:tr w14:paraId="20681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5" w:hRule="atLeast"/>
        </w:trPr>
        <w:tc>
          <w:tcPr>
            <w:tcW w:w="761" w:type="dxa"/>
            <w:vMerge w:val="continue"/>
            <w:shd w:val="clear" w:color="auto" w:fill="FFFFFF"/>
            <w:vAlign w:val="center"/>
          </w:tcPr>
          <w:p w14:paraId="5959C648">
            <w:pPr>
              <w:spacing w:line="360" w:lineRule="exact"/>
              <w:jc w:val="center"/>
              <w:textAlignment w:val="center"/>
              <w:rPr>
                <w:rFonts w:ascii="宋体" w:hAnsi="宋体" w:eastAsia="宋体" w:cs="宋体"/>
                <w:sz w:val="24"/>
                <w:szCs w:val="24"/>
              </w:rPr>
            </w:pPr>
          </w:p>
        </w:tc>
        <w:tc>
          <w:tcPr>
            <w:tcW w:w="2584" w:type="dxa"/>
            <w:shd w:val="clear" w:color="auto" w:fill="FFFFFF"/>
            <w:vAlign w:val="center"/>
          </w:tcPr>
          <w:p w14:paraId="64189C7B">
            <w:pPr>
              <w:pStyle w:val="22"/>
              <w:overflowPunct w:val="0"/>
              <w:spacing w:line="400" w:lineRule="exact"/>
              <w:ind w:firstLine="0"/>
              <w:jc w:val="center"/>
              <w:rPr>
                <w:bCs/>
                <w:color w:val="auto"/>
                <w:sz w:val="24"/>
                <w:lang w:eastAsia="zh-CN"/>
              </w:rPr>
            </w:pPr>
            <w:r>
              <w:rPr>
                <w:rFonts w:hint="eastAsia"/>
                <w:bCs/>
                <w:color w:val="auto"/>
                <w:sz w:val="24"/>
              </w:rPr>
              <w:t>等离子清洗机</w:t>
            </w:r>
          </w:p>
        </w:tc>
        <w:tc>
          <w:tcPr>
            <w:tcW w:w="1119" w:type="dxa"/>
            <w:shd w:val="clear" w:color="auto" w:fill="FFFFFF"/>
            <w:vAlign w:val="center"/>
          </w:tcPr>
          <w:p w14:paraId="1F37F533">
            <w:pPr>
              <w:pStyle w:val="22"/>
              <w:overflowPunct w:val="0"/>
              <w:spacing w:line="400" w:lineRule="exact"/>
              <w:ind w:firstLine="0"/>
              <w:jc w:val="center"/>
              <w:rPr>
                <w:bCs/>
                <w:color w:val="auto"/>
                <w:sz w:val="24"/>
              </w:rPr>
            </w:pPr>
            <w:r>
              <w:rPr>
                <w:rFonts w:hint="eastAsia"/>
                <w:bCs/>
                <w:color w:val="auto"/>
                <w:sz w:val="24"/>
                <w:lang w:val="en-US" w:eastAsia="zh-CN"/>
              </w:rPr>
              <w:t>1</w:t>
            </w:r>
            <w:r>
              <w:rPr>
                <w:rFonts w:hint="eastAsia"/>
                <w:bCs/>
                <w:color w:val="auto"/>
                <w:sz w:val="24"/>
              </w:rPr>
              <w:t>套</w:t>
            </w:r>
          </w:p>
        </w:tc>
        <w:tc>
          <w:tcPr>
            <w:tcW w:w="1827" w:type="dxa"/>
            <w:shd w:val="clear" w:color="auto" w:fill="FFFFFF"/>
            <w:vAlign w:val="center"/>
          </w:tcPr>
          <w:p w14:paraId="40C66930">
            <w:pPr>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否</w:t>
            </w:r>
          </w:p>
        </w:tc>
        <w:tc>
          <w:tcPr>
            <w:tcW w:w="2126" w:type="dxa"/>
            <w:shd w:val="clear" w:color="auto" w:fill="FFFFFF"/>
            <w:vAlign w:val="center"/>
          </w:tcPr>
          <w:p w14:paraId="16BE311B">
            <w:pPr>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否</w:t>
            </w:r>
          </w:p>
        </w:tc>
        <w:tc>
          <w:tcPr>
            <w:tcW w:w="2605" w:type="dxa"/>
            <w:shd w:val="clear" w:color="auto" w:fill="FFFFFF"/>
            <w:vAlign w:val="center"/>
          </w:tcPr>
          <w:p w14:paraId="196E840B">
            <w:pPr>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否</w:t>
            </w:r>
          </w:p>
        </w:tc>
        <w:tc>
          <w:tcPr>
            <w:tcW w:w="2790" w:type="dxa"/>
            <w:vMerge w:val="continue"/>
            <w:shd w:val="clear" w:color="auto" w:fill="FFFFFF"/>
            <w:vAlign w:val="center"/>
          </w:tcPr>
          <w:p w14:paraId="3FCC6C6B">
            <w:pPr>
              <w:jc w:val="center"/>
              <w:textAlignment w:val="center"/>
              <w:rPr>
                <w:rFonts w:ascii="宋体" w:hAnsi="宋体" w:eastAsia="宋体" w:cs="宋体"/>
                <w:sz w:val="24"/>
                <w:szCs w:val="24"/>
                <w:lang w:bidi="ar"/>
              </w:rPr>
            </w:pPr>
          </w:p>
        </w:tc>
      </w:tr>
      <w:tr w14:paraId="5C6BE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5" w:hRule="atLeast"/>
        </w:trPr>
        <w:tc>
          <w:tcPr>
            <w:tcW w:w="761" w:type="dxa"/>
            <w:vMerge w:val="continue"/>
            <w:shd w:val="clear" w:color="auto" w:fill="FFFFFF"/>
            <w:vAlign w:val="center"/>
          </w:tcPr>
          <w:p w14:paraId="544F8AB8">
            <w:pPr>
              <w:spacing w:line="360" w:lineRule="exact"/>
              <w:jc w:val="center"/>
              <w:textAlignment w:val="center"/>
              <w:rPr>
                <w:rFonts w:ascii="宋体" w:hAnsi="宋体" w:eastAsia="宋体" w:cs="宋体"/>
                <w:sz w:val="24"/>
                <w:szCs w:val="24"/>
              </w:rPr>
            </w:pPr>
          </w:p>
        </w:tc>
        <w:tc>
          <w:tcPr>
            <w:tcW w:w="2584" w:type="dxa"/>
            <w:shd w:val="clear" w:color="auto" w:fill="FFFFFF"/>
            <w:vAlign w:val="center"/>
          </w:tcPr>
          <w:p w14:paraId="0A89AAB6">
            <w:pPr>
              <w:pStyle w:val="22"/>
              <w:overflowPunct w:val="0"/>
              <w:spacing w:line="400" w:lineRule="exact"/>
              <w:ind w:firstLine="0"/>
              <w:jc w:val="center"/>
              <w:rPr>
                <w:bCs/>
                <w:color w:val="auto"/>
                <w:sz w:val="24"/>
                <w:lang w:eastAsia="zh-CN"/>
              </w:rPr>
            </w:pPr>
            <w:r>
              <w:rPr>
                <w:rFonts w:hint="eastAsia"/>
                <w:bCs/>
                <w:color w:val="auto"/>
                <w:sz w:val="24"/>
              </w:rPr>
              <w:t>微波信号源</w:t>
            </w:r>
          </w:p>
        </w:tc>
        <w:tc>
          <w:tcPr>
            <w:tcW w:w="1119" w:type="dxa"/>
            <w:shd w:val="clear" w:color="auto" w:fill="FFFFFF"/>
            <w:vAlign w:val="center"/>
          </w:tcPr>
          <w:p w14:paraId="5E66B0E0">
            <w:pPr>
              <w:pStyle w:val="22"/>
              <w:overflowPunct w:val="0"/>
              <w:spacing w:line="400" w:lineRule="exact"/>
              <w:ind w:firstLine="0"/>
              <w:jc w:val="center"/>
              <w:rPr>
                <w:bCs/>
                <w:color w:val="auto"/>
                <w:sz w:val="24"/>
              </w:rPr>
            </w:pPr>
            <w:r>
              <w:rPr>
                <w:rFonts w:hint="eastAsia"/>
                <w:bCs/>
                <w:color w:val="auto"/>
                <w:sz w:val="24"/>
                <w:lang w:val="en-US" w:eastAsia="zh-CN"/>
              </w:rPr>
              <w:t>2</w:t>
            </w:r>
            <w:r>
              <w:rPr>
                <w:rFonts w:hint="eastAsia"/>
                <w:bCs/>
                <w:color w:val="auto"/>
                <w:sz w:val="24"/>
              </w:rPr>
              <w:t>套</w:t>
            </w:r>
          </w:p>
        </w:tc>
        <w:tc>
          <w:tcPr>
            <w:tcW w:w="1827" w:type="dxa"/>
            <w:shd w:val="clear" w:color="auto" w:fill="FFFFFF"/>
            <w:vAlign w:val="center"/>
          </w:tcPr>
          <w:p w14:paraId="249C7A63">
            <w:pPr>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否</w:t>
            </w:r>
          </w:p>
        </w:tc>
        <w:tc>
          <w:tcPr>
            <w:tcW w:w="2126" w:type="dxa"/>
            <w:shd w:val="clear" w:color="auto" w:fill="FFFFFF"/>
            <w:vAlign w:val="center"/>
          </w:tcPr>
          <w:p w14:paraId="220FE8DB">
            <w:pPr>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否</w:t>
            </w:r>
          </w:p>
        </w:tc>
        <w:tc>
          <w:tcPr>
            <w:tcW w:w="2605" w:type="dxa"/>
            <w:shd w:val="clear" w:color="auto" w:fill="FFFFFF"/>
            <w:vAlign w:val="center"/>
          </w:tcPr>
          <w:p w14:paraId="5764D892">
            <w:pPr>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否</w:t>
            </w:r>
          </w:p>
        </w:tc>
        <w:tc>
          <w:tcPr>
            <w:tcW w:w="2790" w:type="dxa"/>
            <w:vMerge w:val="continue"/>
            <w:shd w:val="clear" w:color="auto" w:fill="FFFFFF"/>
            <w:vAlign w:val="center"/>
          </w:tcPr>
          <w:p w14:paraId="52D55006">
            <w:pPr>
              <w:jc w:val="center"/>
              <w:textAlignment w:val="center"/>
              <w:rPr>
                <w:rFonts w:ascii="宋体" w:hAnsi="宋体" w:eastAsia="宋体" w:cs="宋体"/>
                <w:sz w:val="24"/>
                <w:szCs w:val="24"/>
                <w:lang w:bidi="ar"/>
              </w:rPr>
            </w:pPr>
          </w:p>
        </w:tc>
      </w:tr>
      <w:tr w14:paraId="195AA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5" w:hRule="atLeast"/>
        </w:trPr>
        <w:tc>
          <w:tcPr>
            <w:tcW w:w="761" w:type="dxa"/>
            <w:vMerge w:val="continue"/>
            <w:shd w:val="clear" w:color="auto" w:fill="FFFFFF"/>
            <w:vAlign w:val="center"/>
          </w:tcPr>
          <w:p w14:paraId="31A78401">
            <w:pPr>
              <w:spacing w:line="360" w:lineRule="exact"/>
              <w:jc w:val="center"/>
              <w:textAlignment w:val="center"/>
              <w:rPr>
                <w:rFonts w:ascii="宋体" w:hAnsi="宋体" w:eastAsia="宋体" w:cs="宋体"/>
                <w:sz w:val="24"/>
                <w:szCs w:val="24"/>
              </w:rPr>
            </w:pPr>
          </w:p>
        </w:tc>
        <w:tc>
          <w:tcPr>
            <w:tcW w:w="2584" w:type="dxa"/>
            <w:shd w:val="clear" w:color="auto" w:fill="FFFFFF"/>
            <w:vAlign w:val="center"/>
          </w:tcPr>
          <w:p w14:paraId="027FE0E0">
            <w:pPr>
              <w:pStyle w:val="22"/>
              <w:overflowPunct w:val="0"/>
              <w:spacing w:line="400" w:lineRule="exact"/>
              <w:ind w:firstLine="0"/>
              <w:jc w:val="center"/>
              <w:rPr>
                <w:bCs/>
                <w:color w:val="auto"/>
                <w:sz w:val="24"/>
                <w:lang w:eastAsia="zh-CN"/>
              </w:rPr>
            </w:pPr>
            <w:r>
              <w:rPr>
                <w:rFonts w:hint="eastAsia"/>
                <w:bCs/>
                <w:color w:val="auto"/>
                <w:sz w:val="24"/>
              </w:rPr>
              <w:t>划片机</w:t>
            </w:r>
          </w:p>
        </w:tc>
        <w:tc>
          <w:tcPr>
            <w:tcW w:w="1119" w:type="dxa"/>
            <w:shd w:val="clear" w:color="auto" w:fill="FFFFFF"/>
            <w:vAlign w:val="center"/>
          </w:tcPr>
          <w:p w14:paraId="7EE2A1ED">
            <w:pPr>
              <w:pStyle w:val="22"/>
              <w:overflowPunct w:val="0"/>
              <w:spacing w:line="400" w:lineRule="exact"/>
              <w:ind w:firstLine="0"/>
              <w:jc w:val="center"/>
              <w:rPr>
                <w:bCs/>
                <w:color w:val="auto"/>
                <w:sz w:val="24"/>
              </w:rPr>
            </w:pPr>
            <w:r>
              <w:rPr>
                <w:rFonts w:hint="eastAsia"/>
                <w:bCs/>
                <w:color w:val="auto"/>
                <w:sz w:val="24"/>
                <w:lang w:val="en-US" w:eastAsia="zh-CN"/>
              </w:rPr>
              <w:t>1</w:t>
            </w:r>
            <w:r>
              <w:rPr>
                <w:rFonts w:hint="eastAsia"/>
                <w:bCs/>
                <w:color w:val="auto"/>
                <w:sz w:val="24"/>
              </w:rPr>
              <w:t>套</w:t>
            </w:r>
          </w:p>
        </w:tc>
        <w:tc>
          <w:tcPr>
            <w:tcW w:w="1827" w:type="dxa"/>
            <w:shd w:val="clear" w:color="auto" w:fill="FFFFFF"/>
            <w:vAlign w:val="center"/>
          </w:tcPr>
          <w:p w14:paraId="576AF5E9">
            <w:pPr>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否</w:t>
            </w:r>
          </w:p>
        </w:tc>
        <w:tc>
          <w:tcPr>
            <w:tcW w:w="2126" w:type="dxa"/>
            <w:shd w:val="clear" w:color="auto" w:fill="FFFFFF"/>
            <w:vAlign w:val="center"/>
          </w:tcPr>
          <w:p w14:paraId="3D68E34E">
            <w:pPr>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否</w:t>
            </w:r>
          </w:p>
        </w:tc>
        <w:tc>
          <w:tcPr>
            <w:tcW w:w="2605" w:type="dxa"/>
            <w:shd w:val="clear" w:color="auto" w:fill="FFFFFF"/>
            <w:vAlign w:val="center"/>
          </w:tcPr>
          <w:p w14:paraId="7BE5043E">
            <w:pPr>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否</w:t>
            </w:r>
          </w:p>
        </w:tc>
        <w:tc>
          <w:tcPr>
            <w:tcW w:w="2790" w:type="dxa"/>
            <w:vMerge w:val="continue"/>
            <w:shd w:val="clear" w:color="auto" w:fill="FFFFFF"/>
            <w:vAlign w:val="center"/>
          </w:tcPr>
          <w:p w14:paraId="1BE0C7B8">
            <w:pPr>
              <w:jc w:val="center"/>
              <w:textAlignment w:val="center"/>
              <w:rPr>
                <w:rFonts w:ascii="宋体" w:hAnsi="宋体" w:eastAsia="宋体" w:cs="宋体"/>
                <w:sz w:val="24"/>
                <w:szCs w:val="24"/>
                <w:lang w:bidi="ar"/>
              </w:rPr>
            </w:pPr>
          </w:p>
        </w:tc>
      </w:tr>
      <w:tr w14:paraId="4AFCA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5" w:hRule="atLeast"/>
        </w:trPr>
        <w:tc>
          <w:tcPr>
            <w:tcW w:w="761" w:type="dxa"/>
            <w:vMerge w:val="continue"/>
            <w:shd w:val="clear" w:color="auto" w:fill="FFFFFF"/>
            <w:vAlign w:val="center"/>
          </w:tcPr>
          <w:p w14:paraId="45E421AA">
            <w:pPr>
              <w:spacing w:line="360" w:lineRule="exact"/>
              <w:jc w:val="center"/>
              <w:textAlignment w:val="center"/>
              <w:rPr>
                <w:rFonts w:ascii="宋体" w:hAnsi="宋体" w:eastAsia="宋体" w:cs="宋体"/>
                <w:sz w:val="24"/>
                <w:szCs w:val="24"/>
              </w:rPr>
            </w:pPr>
          </w:p>
        </w:tc>
        <w:tc>
          <w:tcPr>
            <w:tcW w:w="2584" w:type="dxa"/>
            <w:shd w:val="clear" w:color="auto" w:fill="FFFFFF"/>
            <w:vAlign w:val="center"/>
          </w:tcPr>
          <w:p w14:paraId="5BEC4774">
            <w:pPr>
              <w:pStyle w:val="22"/>
              <w:overflowPunct w:val="0"/>
              <w:spacing w:line="400" w:lineRule="exact"/>
              <w:ind w:firstLine="0"/>
              <w:jc w:val="center"/>
              <w:rPr>
                <w:bCs/>
                <w:color w:val="auto"/>
                <w:sz w:val="24"/>
                <w:lang w:eastAsia="zh-CN"/>
              </w:rPr>
            </w:pPr>
            <w:r>
              <w:rPr>
                <w:rFonts w:hint="eastAsia"/>
                <w:bCs/>
                <w:color w:val="auto"/>
                <w:sz w:val="24"/>
              </w:rPr>
              <w:t>邦定机</w:t>
            </w:r>
          </w:p>
        </w:tc>
        <w:tc>
          <w:tcPr>
            <w:tcW w:w="1119" w:type="dxa"/>
            <w:shd w:val="clear" w:color="auto" w:fill="FFFFFF"/>
            <w:vAlign w:val="center"/>
          </w:tcPr>
          <w:p w14:paraId="127E1F09">
            <w:pPr>
              <w:pStyle w:val="22"/>
              <w:overflowPunct w:val="0"/>
              <w:spacing w:line="400" w:lineRule="exact"/>
              <w:ind w:firstLine="0"/>
              <w:jc w:val="center"/>
              <w:rPr>
                <w:bCs/>
                <w:color w:val="auto"/>
                <w:sz w:val="24"/>
              </w:rPr>
            </w:pPr>
            <w:r>
              <w:rPr>
                <w:rFonts w:hint="eastAsia"/>
                <w:bCs/>
                <w:color w:val="auto"/>
                <w:sz w:val="24"/>
                <w:lang w:val="en-US" w:eastAsia="zh-CN"/>
              </w:rPr>
              <w:t>1</w:t>
            </w:r>
            <w:r>
              <w:rPr>
                <w:rFonts w:hint="eastAsia"/>
                <w:bCs/>
                <w:color w:val="auto"/>
                <w:sz w:val="24"/>
              </w:rPr>
              <w:t>套</w:t>
            </w:r>
          </w:p>
        </w:tc>
        <w:tc>
          <w:tcPr>
            <w:tcW w:w="1827" w:type="dxa"/>
            <w:shd w:val="clear" w:color="auto" w:fill="FFFFFF"/>
            <w:vAlign w:val="center"/>
          </w:tcPr>
          <w:p w14:paraId="0B795358">
            <w:pPr>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否</w:t>
            </w:r>
          </w:p>
        </w:tc>
        <w:tc>
          <w:tcPr>
            <w:tcW w:w="2126" w:type="dxa"/>
            <w:shd w:val="clear" w:color="auto" w:fill="FFFFFF"/>
            <w:vAlign w:val="center"/>
          </w:tcPr>
          <w:p w14:paraId="487F1DDA">
            <w:pPr>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否</w:t>
            </w:r>
          </w:p>
        </w:tc>
        <w:tc>
          <w:tcPr>
            <w:tcW w:w="2605" w:type="dxa"/>
            <w:shd w:val="clear" w:color="auto" w:fill="FFFFFF"/>
            <w:vAlign w:val="center"/>
          </w:tcPr>
          <w:p w14:paraId="4FA90797">
            <w:pPr>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否</w:t>
            </w:r>
          </w:p>
        </w:tc>
        <w:tc>
          <w:tcPr>
            <w:tcW w:w="2790" w:type="dxa"/>
            <w:vMerge w:val="continue"/>
            <w:shd w:val="clear" w:color="auto" w:fill="FFFFFF"/>
            <w:vAlign w:val="center"/>
          </w:tcPr>
          <w:p w14:paraId="22950C11">
            <w:pPr>
              <w:jc w:val="center"/>
              <w:textAlignment w:val="center"/>
              <w:rPr>
                <w:rFonts w:ascii="宋体" w:hAnsi="宋体" w:eastAsia="宋体" w:cs="宋体"/>
                <w:sz w:val="24"/>
                <w:szCs w:val="24"/>
                <w:lang w:bidi="ar"/>
              </w:rPr>
            </w:pPr>
          </w:p>
        </w:tc>
      </w:tr>
      <w:tr w14:paraId="11960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13812" w:type="dxa"/>
            <w:gridSpan w:val="7"/>
            <w:shd w:val="clear" w:color="auto" w:fill="FFFFFF"/>
            <w:vAlign w:val="center"/>
          </w:tcPr>
          <w:p w14:paraId="59399856">
            <w:pPr>
              <w:spacing w:line="360" w:lineRule="exact"/>
              <w:jc w:val="center"/>
              <w:textAlignment w:val="center"/>
              <w:rPr>
                <w:rFonts w:ascii="宋体" w:hAnsi="宋体" w:eastAsia="宋体" w:cs="宋体"/>
                <w:sz w:val="24"/>
                <w:szCs w:val="24"/>
              </w:rPr>
            </w:pPr>
            <w:r>
              <w:rPr>
                <w:rFonts w:hint="eastAsia" w:ascii="宋体" w:hAnsi="宋体" w:eastAsia="宋体" w:cs="宋体"/>
                <w:b/>
                <w:bCs/>
                <w:sz w:val="28"/>
                <w:szCs w:val="28"/>
                <w:lang w:val="zh-TW" w:eastAsia="zh-TW" w:bidi="zh-TW"/>
              </w:rPr>
              <w:t>需求</w:t>
            </w:r>
            <w:r>
              <w:rPr>
                <w:rFonts w:hint="eastAsia" w:ascii="宋体" w:hAnsi="宋体" w:eastAsia="宋体" w:cs="宋体"/>
                <w:b/>
                <w:bCs/>
                <w:sz w:val="28"/>
                <w:szCs w:val="28"/>
                <w:lang w:val="zh-TW" w:bidi="zh-TW"/>
              </w:rPr>
              <w:t>描述</w:t>
            </w:r>
          </w:p>
        </w:tc>
      </w:tr>
      <w:tr w14:paraId="76F18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878" w:hRule="atLeast"/>
        </w:trPr>
        <w:tc>
          <w:tcPr>
            <w:tcW w:w="3345" w:type="dxa"/>
            <w:gridSpan w:val="2"/>
            <w:shd w:val="clear" w:color="auto" w:fill="FFFFFF"/>
            <w:vAlign w:val="center"/>
          </w:tcPr>
          <w:p w14:paraId="43F01562">
            <w:pPr>
              <w:rPr>
                <w:rFonts w:ascii="宋体" w:hAnsi="宋体" w:eastAsia="宋体" w:cs="宋体"/>
                <w:b/>
                <w:bCs/>
                <w:sz w:val="24"/>
                <w:szCs w:val="24"/>
              </w:rPr>
            </w:pPr>
            <w:r>
              <w:rPr>
                <w:rFonts w:hint="eastAsia" w:ascii="宋体" w:hAnsi="宋体" w:eastAsia="宋体" w:cs="宋体"/>
                <w:b/>
                <w:bCs/>
                <w:sz w:val="24"/>
                <w:szCs w:val="24"/>
              </w:rPr>
              <w:t>技术要求</w:t>
            </w:r>
          </w:p>
        </w:tc>
        <w:tc>
          <w:tcPr>
            <w:tcW w:w="10467" w:type="dxa"/>
            <w:gridSpan w:val="5"/>
            <w:shd w:val="clear" w:color="auto" w:fill="FFFFFF"/>
            <w:vAlign w:val="center"/>
          </w:tcPr>
          <w:p w14:paraId="6C7129D7">
            <w:pPr>
              <w:pStyle w:val="4"/>
              <w:spacing w:line="360" w:lineRule="auto"/>
              <w:ind w:left="0" w:leftChars="0"/>
              <w:rPr>
                <w:rFonts w:ascii="宋体" w:hAnsi="宋体" w:eastAsia="宋体" w:cs="宋体"/>
                <w:b/>
                <w:bCs/>
                <w:sz w:val="24"/>
                <w:szCs w:val="24"/>
                <w:lang w:val="zh-CN"/>
              </w:rPr>
            </w:pPr>
            <w:r>
              <w:rPr>
                <w:rFonts w:hint="eastAsia" w:ascii="宋体" w:hAnsi="宋体" w:eastAsia="宋体" w:cs="宋体"/>
                <w:b/>
                <w:bCs/>
                <w:sz w:val="24"/>
                <w:szCs w:val="24"/>
                <w:lang w:val="zh-CN"/>
              </w:rPr>
              <w:t>一、项目概况</w:t>
            </w:r>
          </w:p>
          <w:p w14:paraId="4C5F03C2">
            <w:pPr>
              <w:spacing w:line="360" w:lineRule="auto"/>
              <w:rPr>
                <w:rFonts w:ascii="宋体" w:hAnsi="宋体" w:eastAsia="宋体" w:cs="宋体"/>
                <w:iCs/>
                <w:sz w:val="24"/>
                <w:szCs w:val="24"/>
                <w:lang w:val="zh-CN"/>
              </w:rPr>
            </w:pPr>
            <w:r>
              <w:rPr>
                <w:rFonts w:hint="eastAsia" w:ascii="宋体" w:hAnsi="宋体" w:eastAsia="宋体" w:cs="宋体"/>
                <w:iCs/>
                <w:sz w:val="24"/>
                <w:szCs w:val="24"/>
                <w:lang w:val="zh-CN"/>
              </w:rPr>
              <w:t>本项目为山东师范大学2026年物电学院化学机械研磨抛光机采购项目，</w:t>
            </w:r>
            <w:r>
              <w:rPr>
                <w:rFonts w:hint="eastAsia" w:ascii="宋体" w:hAnsi="宋体" w:eastAsia="宋体" w:cs="宋体"/>
                <w:iCs/>
                <w:sz w:val="24"/>
                <w:szCs w:val="24"/>
              </w:rPr>
              <w:t>总</w:t>
            </w:r>
            <w:r>
              <w:rPr>
                <w:rFonts w:hint="eastAsia" w:ascii="宋体" w:hAnsi="宋体" w:eastAsia="宋体" w:cs="宋体"/>
                <w:iCs/>
                <w:sz w:val="24"/>
                <w:szCs w:val="24"/>
                <w:lang w:val="zh-CN"/>
              </w:rPr>
              <w:t>预算</w:t>
            </w:r>
            <w:r>
              <w:rPr>
                <w:rFonts w:hint="eastAsia" w:ascii="宋体" w:hAnsi="宋体" w:eastAsia="宋体" w:cs="宋体"/>
                <w:sz w:val="24"/>
                <w:szCs w:val="24"/>
              </w:rPr>
              <w:t>452.00万元</w:t>
            </w:r>
            <w:r>
              <w:rPr>
                <w:rFonts w:hint="eastAsia" w:ascii="宋体" w:hAnsi="宋体" w:eastAsia="宋体" w:cs="宋体"/>
                <w:iCs/>
                <w:sz w:val="24"/>
                <w:szCs w:val="24"/>
                <w:lang w:val="zh-CN"/>
              </w:rPr>
              <w:t>。</w:t>
            </w:r>
          </w:p>
          <w:p w14:paraId="741FFD9E">
            <w:pPr>
              <w:spacing w:line="360" w:lineRule="auto"/>
              <w:rPr>
                <w:rFonts w:ascii="宋体" w:hAnsi="宋体" w:eastAsia="宋体" w:cs="宋体"/>
                <w:b/>
                <w:bCs/>
                <w:sz w:val="24"/>
                <w:szCs w:val="24"/>
              </w:rPr>
            </w:pPr>
            <w:r>
              <w:rPr>
                <w:rFonts w:hint="eastAsia" w:ascii="宋体" w:hAnsi="宋体" w:eastAsia="宋体" w:cs="宋体"/>
                <w:b/>
                <w:bCs/>
                <w:sz w:val="24"/>
                <w:szCs w:val="24"/>
                <w:lang w:val="zh-CN"/>
              </w:rPr>
              <w:t>二、技术要求</w:t>
            </w:r>
            <w:r>
              <w:rPr>
                <w:rFonts w:hint="eastAsia" w:ascii="宋体" w:hAnsi="宋体" w:eastAsia="宋体" w:cs="宋体"/>
                <w:b/>
                <w:bCs/>
                <w:sz w:val="24"/>
                <w:szCs w:val="24"/>
              </w:rPr>
              <w:t xml:space="preserve"> </w:t>
            </w:r>
          </w:p>
          <w:p w14:paraId="0A5195EE">
            <w:pPr>
              <w:spacing w:line="360" w:lineRule="auto"/>
              <w:rPr>
                <w:rFonts w:ascii="宋体" w:hAnsi="宋体" w:eastAsia="宋体" w:cs="宋体"/>
                <w:sz w:val="24"/>
                <w:szCs w:val="24"/>
              </w:rPr>
            </w:pPr>
            <w:r>
              <w:rPr>
                <w:rFonts w:hint="eastAsia" w:ascii="宋体" w:hAnsi="宋体" w:eastAsia="宋体" w:cs="宋体"/>
                <w:sz w:val="24"/>
                <w:szCs w:val="24"/>
              </w:rPr>
              <w:t>详见附件：详细技术要求。</w:t>
            </w:r>
          </w:p>
        </w:tc>
      </w:tr>
      <w:tr w14:paraId="13F21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3345" w:type="dxa"/>
            <w:gridSpan w:val="2"/>
            <w:shd w:val="clear" w:color="auto" w:fill="FFFFFF"/>
            <w:vAlign w:val="center"/>
          </w:tcPr>
          <w:p w14:paraId="2A858484">
            <w:pPr>
              <w:rPr>
                <w:rFonts w:ascii="宋体" w:hAnsi="宋体" w:eastAsia="宋体" w:cs="宋体"/>
                <w:b/>
                <w:bCs/>
                <w:sz w:val="24"/>
                <w:szCs w:val="24"/>
              </w:rPr>
            </w:pPr>
            <w:r>
              <w:rPr>
                <w:rFonts w:hint="eastAsia" w:ascii="宋体" w:hAnsi="宋体" w:eastAsia="宋体" w:cs="宋体"/>
                <w:b/>
                <w:bCs/>
                <w:sz w:val="24"/>
                <w:szCs w:val="24"/>
              </w:rPr>
              <w:t>商务要求</w:t>
            </w:r>
          </w:p>
        </w:tc>
        <w:tc>
          <w:tcPr>
            <w:tcW w:w="10467" w:type="dxa"/>
            <w:gridSpan w:val="5"/>
            <w:shd w:val="clear" w:color="auto" w:fill="FFFFFF"/>
            <w:vAlign w:val="center"/>
          </w:tcPr>
          <w:p w14:paraId="5F397EB6">
            <w:pPr>
              <w:numPr>
                <w:ilvl w:val="0"/>
                <w:numId w:val="1"/>
              </w:numPr>
              <w:spacing w:line="360" w:lineRule="auto"/>
              <w:rPr>
                <w:rFonts w:ascii="宋体" w:hAnsi="宋体" w:eastAsia="宋体" w:cs="宋体"/>
                <w:sz w:val="24"/>
                <w:szCs w:val="24"/>
                <w:highlight w:val="none"/>
              </w:rPr>
            </w:pPr>
            <w:r>
              <w:rPr>
                <w:rFonts w:hint="eastAsia" w:ascii="宋体" w:hAnsi="宋体" w:eastAsia="宋体" w:cs="宋体"/>
                <w:b/>
                <w:bCs/>
                <w:sz w:val="24"/>
                <w:szCs w:val="24"/>
              </w:rPr>
              <w:t>交货期</w:t>
            </w:r>
            <w:r>
              <w:rPr>
                <w:rFonts w:hint="eastAsia" w:ascii="宋体" w:hAnsi="宋体" w:eastAsia="宋体" w:cs="宋体"/>
                <w:sz w:val="24"/>
                <w:szCs w:val="24"/>
              </w:rPr>
              <w:t>：</w:t>
            </w:r>
          </w:p>
          <w:p w14:paraId="3BBF0640">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国产设备自合同签订之日起120天内供货安装调试完毕。</w:t>
            </w:r>
          </w:p>
          <w:p w14:paraId="2A5FA1F0">
            <w:pPr>
              <w:numPr>
                <w:ilvl w:val="0"/>
                <w:numId w:val="1"/>
              </w:numPr>
              <w:spacing w:line="360" w:lineRule="auto"/>
              <w:rPr>
                <w:rFonts w:ascii="宋体" w:hAnsi="宋体" w:eastAsia="宋体" w:cs="宋体"/>
                <w:b/>
                <w:bCs/>
                <w:sz w:val="24"/>
                <w:szCs w:val="24"/>
                <w:highlight w:val="none"/>
              </w:rPr>
            </w:pPr>
            <w:r>
              <w:rPr>
                <w:rFonts w:hint="eastAsia" w:ascii="宋体" w:hAnsi="宋体" w:eastAsia="宋体" w:cs="宋体"/>
                <w:b/>
                <w:bCs/>
                <w:sz w:val="24"/>
                <w:szCs w:val="24"/>
                <w:highlight w:val="none"/>
              </w:rPr>
              <w:t>交付地点：</w:t>
            </w:r>
          </w:p>
          <w:p w14:paraId="31D4421D">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设备全部到达山东师范大学校内指定地点。</w:t>
            </w:r>
          </w:p>
          <w:p w14:paraId="36F928C7">
            <w:pPr>
              <w:spacing w:line="360" w:lineRule="auto"/>
              <w:rPr>
                <w:rFonts w:ascii="宋体" w:hAnsi="宋体" w:eastAsia="宋体" w:cs="宋体"/>
                <w:b/>
                <w:bCs/>
                <w:sz w:val="24"/>
                <w:szCs w:val="24"/>
                <w:highlight w:val="none"/>
              </w:rPr>
            </w:pPr>
            <w:r>
              <w:rPr>
                <w:rFonts w:hint="eastAsia" w:ascii="宋体" w:hAnsi="宋体" w:eastAsia="宋体" w:cs="宋体"/>
                <w:b/>
                <w:bCs/>
                <w:sz w:val="24"/>
                <w:szCs w:val="24"/>
                <w:highlight w:val="none"/>
              </w:rPr>
              <w:t>3、付款条件：</w:t>
            </w:r>
          </w:p>
          <w:p w14:paraId="0F9E36C2">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国产设备：供货方在合同生效之日起十个工作日内开具合格发票，并提交银行出具的不可撤销见索即付独立保函，金额为合同总金额100%。保函有效期应覆盖至安装调试经采购人履约验收合格后30日；因银行保函须载明确定到期日，该到期日不得早于合同约定的预计验收合格日后30日，实际验收拖延导致到期日不足以覆盖的，供货方应在到期前至少30日办理展期。采购方收到符合前述要求的发票及保函后支付合同总金额100%。保函正本由采购方保管，经采购方验收收合格后自动失效。</w:t>
            </w:r>
          </w:p>
          <w:p w14:paraId="43A7697F">
            <w:pPr>
              <w:spacing w:line="360" w:lineRule="auto"/>
              <w:rPr>
                <w:rFonts w:ascii="宋体" w:hAnsi="宋体" w:eastAsia="宋体" w:cs="宋体"/>
                <w:sz w:val="24"/>
                <w:szCs w:val="24"/>
                <w:highlight w:val="none"/>
              </w:rPr>
            </w:pPr>
            <w:r>
              <w:rPr>
                <w:rFonts w:hint="eastAsia" w:ascii="宋体" w:hAnsi="宋体" w:eastAsia="宋体" w:cs="宋体"/>
                <w:b/>
                <w:bCs/>
                <w:sz w:val="24"/>
                <w:szCs w:val="24"/>
                <w:highlight w:val="none"/>
              </w:rPr>
              <w:t>4、验收</w:t>
            </w:r>
            <w:r>
              <w:rPr>
                <w:rFonts w:hint="eastAsia" w:ascii="宋体" w:hAnsi="宋体" w:eastAsia="宋体" w:cs="宋体"/>
                <w:sz w:val="24"/>
                <w:szCs w:val="24"/>
                <w:highlight w:val="none"/>
              </w:rPr>
              <w:t>：</w:t>
            </w:r>
          </w:p>
          <w:p w14:paraId="08870FBF">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招标人根据《山东省政府采购履约验收管理办法》及招标人要求进行验收。</w:t>
            </w:r>
          </w:p>
          <w:p w14:paraId="4073C75C">
            <w:pPr>
              <w:spacing w:line="360" w:lineRule="auto"/>
              <w:rPr>
                <w:rFonts w:ascii="宋体" w:hAnsi="宋体" w:eastAsia="宋体" w:cs="宋体"/>
                <w:sz w:val="24"/>
                <w:szCs w:val="24"/>
              </w:rPr>
            </w:pPr>
            <w:r>
              <w:rPr>
                <w:rFonts w:hint="eastAsia" w:ascii="宋体" w:hAnsi="宋体" w:eastAsia="宋体" w:cs="宋体"/>
                <w:sz w:val="24"/>
                <w:szCs w:val="24"/>
              </w:rPr>
              <w:t>4.1货物运抵现场后，招标人将对货物数量、质量、规格等进行检验。如发现货物和规格或者两者都与招标文件、投标文件、合同不符，招标人有权限根据检验结果要求中标人立即更换或者提出索赔要求。</w:t>
            </w:r>
          </w:p>
          <w:p w14:paraId="34B3FE5F">
            <w:pPr>
              <w:spacing w:line="360" w:lineRule="auto"/>
              <w:rPr>
                <w:rFonts w:ascii="宋体" w:hAnsi="宋体" w:eastAsia="宋体" w:cs="宋体"/>
                <w:sz w:val="24"/>
                <w:szCs w:val="24"/>
              </w:rPr>
            </w:pPr>
            <w:r>
              <w:rPr>
                <w:rFonts w:hint="eastAsia" w:ascii="宋体" w:hAnsi="宋体" w:eastAsia="宋体" w:cs="宋体"/>
                <w:sz w:val="24"/>
                <w:szCs w:val="24"/>
              </w:rPr>
              <w:t>4.2货物由中标人进行安装，完毕后，招标人应对货物的数量、质量、规格、性能等进行详细而全面的检验。安装完毕7日后，证明货物以及安装质量无任何问题，由招标人组成的验收小组签署验收报告，作为付款凭据之一。</w:t>
            </w:r>
          </w:p>
          <w:p w14:paraId="78325634">
            <w:pPr>
              <w:spacing w:line="360" w:lineRule="auto"/>
              <w:rPr>
                <w:rFonts w:ascii="宋体" w:hAnsi="宋体" w:eastAsia="宋体" w:cs="宋体"/>
                <w:sz w:val="24"/>
                <w:szCs w:val="24"/>
              </w:rPr>
            </w:pPr>
            <w:r>
              <w:rPr>
                <w:rFonts w:hint="eastAsia" w:ascii="宋体" w:hAnsi="宋体" w:eastAsia="宋体" w:cs="宋体"/>
                <w:b/>
                <w:bCs/>
                <w:sz w:val="24"/>
                <w:szCs w:val="24"/>
              </w:rPr>
              <w:t>5、质保要求</w:t>
            </w:r>
          </w:p>
          <w:p w14:paraId="3E2204F9">
            <w:pPr>
              <w:pStyle w:val="25"/>
              <w:spacing w:line="360" w:lineRule="auto"/>
              <w:rPr>
                <w:rFonts w:hint="default" w:ascii="宋体" w:hAnsi="宋体" w:eastAsia="宋体" w:cs="宋体"/>
                <w:sz w:val="24"/>
                <w:szCs w:val="24"/>
              </w:rPr>
            </w:pPr>
            <w:r>
              <w:rPr>
                <w:rFonts w:ascii="宋体" w:hAnsi="宋体" w:eastAsia="宋体" w:cs="宋体"/>
                <w:sz w:val="24"/>
                <w:szCs w:val="24"/>
              </w:rPr>
              <w:t>5.1质保期：整机原厂质保三年，质保期自学校主管部门验收合格之日起计算。（清单技术规格要求中有要求的按照清单要求执行）。国家主管部门或者行业标准对货物本身有更高要求的，从其规定并在合同中约定，投标人亦可提报更长的质保期，质保及售后须注明质保主体（原厂或投标人）。</w:t>
            </w:r>
          </w:p>
          <w:p w14:paraId="3A259681">
            <w:pPr>
              <w:spacing w:line="360" w:lineRule="auto"/>
              <w:rPr>
                <w:rFonts w:ascii="宋体" w:hAnsi="宋体" w:eastAsia="宋体" w:cs="宋体"/>
                <w:sz w:val="24"/>
                <w:szCs w:val="24"/>
              </w:rPr>
            </w:pPr>
            <w:r>
              <w:rPr>
                <w:rFonts w:hint="eastAsia" w:ascii="宋体" w:hAnsi="宋体" w:eastAsia="宋体" w:cs="宋体"/>
                <w:sz w:val="24"/>
                <w:szCs w:val="24"/>
              </w:rPr>
              <w:t>5.2质量保证期内，如果证实货物是有缺陷的，包括潜在的缺陷或者使用不符合要求的材料等，中标人应立即免费维修或者更换有缺陷的货物或者部件，保证达到合同规定的技术以及性能要求。如果中标人在收到通知后5天内没有弥补缺陷，招标人可自行采取必要的补救措施，但风险和费用由中标人承担，招标人同时保留通过法律途径进行索赔的权利。</w:t>
            </w:r>
          </w:p>
          <w:p w14:paraId="4F0BA8BB">
            <w:pPr>
              <w:numPr>
                <w:ilvl w:val="0"/>
                <w:numId w:val="2"/>
              </w:numPr>
              <w:spacing w:line="360" w:lineRule="auto"/>
              <w:rPr>
                <w:rFonts w:ascii="宋体" w:hAnsi="宋体" w:eastAsia="宋体" w:cs="宋体"/>
                <w:sz w:val="24"/>
                <w:szCs w:val="24"/>
              </w:rPr>
            </w:pPr>
            <w:r>
              <w:rPr>
                <w:rFonts w:hint="eastAsia" w:ascii="宋体" w:hAnsi="宋体" w:eastAsia="宋体" w:cs="宋体"/>
                <w:b/>
                <w:bCs/>
                <w:sz w:val="24"/>
                <w:szCs w:val="24"/>
              </w:rPr>
              <w:t>售后服务</w:t>
            </w:r>
            <w:r>
              <w:rPr>
                <w:rFonts w:hint="eastAsia" w:ascii="宋体" w:hAnsi="宋体" w:eastAsia="宋体" w:cs="宋体"/>
                <w:sz w:val="24"/>
                <w:szCs w:val="24"/>
              </w:rPr>
              <w:t>：</w:t>
            </w:r>
          </w:p>
          <w:p w14:paraId="0D54EDEC">
            <w:pPr>
              <w:spacing w:line="360" w:lineRule="auto"/>
              <w:rPr>
                <w:rFonts w:ascii="宋体" w:hAnsi="宋体" w:eastAsia="宋体" w:cs="宋体"/>
                <w:sz w:val="24"/>
                <w:szCs w:val="24"/>
              </w:rPr>
            </w:pPr>
            <w:r>
              <w:rPr>
                <w:rFonts w:hint="eastAsia" w:ascii="宋体" w:hAnsi="宋体" w:eastAsia="宋体" w:cs="宋体"/>
                <w:sz w:val="24"/>
                <w:szCs w:val="24"/>
              </w:rPr>
              <w:t>6.1 投标人应提供及时周到的售后服务，每季度至少一次上门回访、检修。</w:t>
            </w:r>
          </w:p>
          <w:p w14:paraId="0E381E00">
            <w:pPr>
              <w:spacing w:line="360" w:lineRule="auto"/>
              <w:rPr>
                <w:rFonts w:ascii="宋体" w:hAnsi="宋体" w:eastAsia="宋体" w:cs="宋体"/>
                <w:sz w:val="24"/>
                <w:szCs w:val="24"/>
              </w:rPr>
            </w:pPr>
            <w:r>
              <w:rPr>
                <w:rFonts w:hint="eastAsia" w:ascii="宋体" w:hAnsi="宋体" w:eastAsia="宋体" w:cs="宋体"/>
                <w:sz w:val="24"/>
                <w:szCs w:val="24"/>
              </w:rPr>
              <w:t>6.2投标人自报维修时间以及备品备件情况。</w:t>
            </w:r>
          </w:p>
          <w:p w14:paraId="19E3A05F">
            <w:pPr>
              <w:pStyle w:val="24"/>
              <w:spacing w:line="360" w:lineRule="auto"/>
              <w:ind w:firstLine="0" w:firstLineChars="0"/>
              <w:rPr>
                <w:rFonts w:ascii="宋体" w:hAnsi="宋体" w:eastAsia="宋体" w:cs="宋体"/>
                <w:b/>
                <w:bCs/>
                <w:sz w:val="24"/>
                <w:szCs w:val="24"/>
              </w:rPr>
            </w:pPr>
            <w:r>
              <w:rPr>
                <w:rFonts w:hint="eastAsia" w:ascii="宋体" w:hAnsi="宋体" w:eastAsia="宋体" w:cs="宋体"/>
                <w:b/>
                <w:bCs/>
                <w:sz w:val="24"/>
                <w:szCs w:val="24"/>
              </w:rPr>
              <w:t>7、培训</w:t>
            </w:r>
          </w:p>
          <w:p w14:paraId="4C8C2318">
            <w:pPr>
              <w:spacing w:line="360" w:lineRule="auto"/>
              <w:rPr>
                <w:rFonts w:ascii="宋体" w:hAnsi="宋体" w:eastAsia="宋体" w:cs="宋体"/>
                <w:sz w:val="24"/>
                <w:szCs w:val="24"/>
              </w:rPr>
            </w:pPr>
            <w:r>
              <w:rPr>
                <w:rFonts w:hint="eastAsia" w:ascii="宋体" w:hAnsi="宋体" w:eastAsia="宋体" w:cs="宋体"/>
                <w:sz w:val="24"/>
                <w:szCs w:val="24"/>
              </w:rPr>
              <w:t>7.1投标人提供技术培训，包括设备使用维护、工作原理、基本操作、常见故障处理等。</w:t>
            </w:r>
          </w:p>
          <w:p w14:paraId="372B2D9B">
            <w:pPr>
              <w:pStyle w:val="24"/>
              <w:spacing w:line="360" w:lineRule="auto"/>
              <w:ind w:firstLine="0" w:firstLineChars="0"/>
              <w:rPr>
                <w:rFonts w:ascii="宋体" w:hAnsi="宋体" w:eastAsia="宋体" w:cs="宋体"/>
                <w:b/>
                <w:bCs/>
                <w:sz w:val="24"/>
                <w:szCs w:val="24"/>
              </w:rPr>
            </w:pPr>
            <w:r>
              <w:rPr>
                <w:rFonts w:hint="eastAsia" w:ascii="宋体" w:hAnsi="宋体" w:eastAsia="宋体" w:cs="宋体"/>
                <w:b/>
                <w:bCs/>
                <w:sz w:val="24"/>
                <w:szCs w:val="24"/>
              </w:rPr>
              <w:t>8、设备安装要求</w:t>
            </w:r>
          </w:p>
          <w:p w14:paraId="0E815DA4">
            <w:pPr>
              <w:spacing w:line="360" w:lineRule="auto"/>
            </w:pPr>
            <w:r>
              <w:rPr>
                <w:rFonts w:hint="eastAsia" w:ascii="宋体" w:hAnsi="宋体" w:eastAsia="宋体" w:cs="宋体"/>
                <w:sz w:val="24"/>
                <w:szCs w:val="24"/>
              </w:rPr>
              <w:t xml:space="preserve">本项目为交钥匙项目，供应商需在到货前先行勘查用户仪器放置场地，并负责场地湿度/温度/避光/防尘/防震/通风/接地等环境满足仪器安装要求。到货后由中标人技术人员到现场免费进行安装调试，安装过程中所涉及水电、通风、防尘、避光等均由中标人负责，需保证设备在调试及试运行后应达到承诺的技术指标。 </w:t>
            </w:r>
          </w:p>
        </w:tc>
      </w:tr>
      <w:tr w14:paraId="769A8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3345" w:type="dxa"/>
            <w:gridSpan w:val="2"/>
            <w:shd w:val="clear" w:color="auto" w:fill="FFFFFF"/>
            <w:vAlign w:val="center"/>
          </w:tcPr>
          <w:p w14:paraId="4972AE58">
            <w:pPr>
              <w:rPr>
                <w:rFonts w:ascii="宋体" w:hAnsi="宋体" w:eastAsia="宋体" w:cs="宋体"/>
                <w:b/>
                <w:bCs/>
                <w:sz w:val="24"/>
                <w:szCs w:val="24"/>
              </w:rPr>
            </w:pPr>
            <w:r>
              <w:rPr>
                <w:rFonts w:hint="eastAsia" w:ascii="宋体" w:hAnsi="宋体" w:eastAsia="宋体" w:cs="宋体"/>
                <w:b/>
                <w:bCs/>
                <w:sz w:val="24"/>
                <w:szCs w:val="24"/>
              </w:rPr>
              <w:t>政策要求</w:t>
            </w:r>
          </w:p>
        </w:tc>
        <w:tc>
          <w:tcPr>
            <w:tcW w:w="10467" w:type="dxa"/>
            <w:gridSpan w:val="5"/>
            <w:shd w:val="clear" w:color="auto" w:fill="FFFFFF"/>
            <w:vAlign w:val="center"/>
          </w:tcPr>
          <w:p w14:paraId="4F97335E">
            <w:pPr>
              <w:pStyle w:val="4"/>
              <w:spacing w:line="360" w:lineRule="auto"/>
              <w:ind w:left="0" w:leftChars="0"/>
              <w:rPr>
                <w:rFonts w:ascii="宋体" w:hAnsi="宋体" w:eastAsia="宋体" w:cs="宋体"/>
                <w:sz w:val="24"/>
                <w:szCs w:val="24"/>
                <w:lang w:val="zh-CN"/>
              </w:rPr>
            </w:pPr>
            <w:r>
              <w:rPr>
                <w:rFonts w:hint="eastAsia" w:ascii="宋体" w:hAnsi="宋体" w:eastAsia="宋体" w:cs="宋体"/>
                <w:sz w:val="24"/>
                <w:szCs w:val="24"/>
                <w:lang w:val="zh-CN"/>
              </w:rPr>
              <w:t>严格落实财政部、工业和信息化部《政府采购促进中小企业发展管理办法》（财库〔2020〕46号）、《财政部 司法部关于政府采购支持监狱企业发展有关问题的通知》（财库〔2014〕68号）、《关于促进残疾人就业政府采购政策的通知》（财库[2017]141号）、</w:t>
            </w:r>
            <w:r>
              <w:rPr>
                <w:rFonts w:hint="eastAsia" w:ascii="宋体" w:hAnsi="宋体" w:eastAsia="宋体" w:cs="宋体"/>
                <w:iCs/>
                <w:sz w:val="24"/>
                <w:lang w:val="zh-CN"/>
              </w:rPr>
              <w:t>《关于进一步发挥政府采购政策功能支持中小企业发展的通知》、</w:t>
            </w:r>
            <w:r>
              <w:rPr>
                <w:rFonts w:hint="eastAsia" w:ascii="宋体" w:hAnsi="宋体" w:eastAsia="宋体" w:cs="宋体"/>
                <w:sz w:val="24"/>
                <w:szCs w:val="24"/>
                <w:lang w:val="zh-CN"/>
              </w:rPr>
              <w:t>《关于进一步发挥政府采购政策功能支持中小企业发展的通知》、《关于调整优化节能产品、环境标志产品政府采购执行机制的通知》、《关于印发节能产品政府采购品目清单的通知》、《关于印发环境标志产品政府采购品目清单的通知》</w:t>
            </w:r>
            <w:r>
              <w:rPr>
                <w:rFonts w:hint="eastAsia" w:ascii="宋体" w:hAnsi="宋体" w:eastAsia="宋体" w:cs="宋体"/>
                <w:sz w:val="24"/>
                <w:szCs w:val="24"/>
              </w:rPr>
              <w:t>本国产品政策、</w:t>
            </w:r>
            <w:r>
              <w:rPr>
                <w:rFonts w:hint="eastAsia" w:ascii="宋体" w:hAnsi="宋体" w:eastAsia="宋体" w:cs="宋体"/>
                <w:sz w:val="24"/>
                <w:szCs w:val="24"/>
                <w:lang w:val="zh-CN"/>
              </w:rPr>
              <w:t>采购绿色建材、推广节能建筑等</w:t>
            </w:r>
            <w:r>
              <w:rPr>
                <w:rFonts w:hint="eastAsia" w:ascii="宋体" w:hAnsi="宋体" w:eastAsia="宋体" w:cs="宋体"/>
                <w:sz w:val="24"/>
                <w:szCs w:val="24"/>
              </w:rPr>
              <w:t>国家最新</w:t>
            </w:r>
            <w:r>
              <w:rPr>
                <w:rFonts w:hint="eastAsia" w:ascii="宋体" w:hAnsi="宋体" w:eastAsia="宋体" w:cs="宋体"/>
                <w:sz w:val="24"/>
                <w:szCs w:val="24"/>
                <w:lang w:val="zh-CN"/>
              </w:rPr>
              <w:t>政府采购政策。</w:t>
            </w:r>
          </w:p>
        </w:tc>
      </w:tr>
      <w:tr w14:paraId="7292E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3345" w:type="dxa"/>
            <w:gridSpan w:val="2"/>
            <w:shd w:val="clear" w:color="auto" w:fill="FFFFFF"/>
            <w:vAlign w:val="center"/>
          </w:tcPr>
          <w:p w14:paraId="2279CF8E">
            <w:pPr>
              <w:rPr>
                <w:rFonts w:ascii="宋体" w:hAnsi="宋体" w:eastAsia="宋体" w:cs="宋体"/>
                <w:b/>
                <w:bCs/>
                <w:sz w:val="24"/>
                <w:szCs w:val="24"/>
              </w:rPr>
            </w:pPr>
            <w:r>
              <w:rPr>
                <w:rFonts w:hint="eastAsia" w:ascii="宋体" w:hAnsi="宋体" w:eastAsia="宋体" w:cs="宋体"/>
                <w:b/>
                <w:bCs/>
                <w:sz w:val="24"/>
                <w:szCs w:val="24"/>
              </w:rPr>
              <w:t>绩效目标</w:t>
            </w:r>
          </w:p>
        </w:tc>
        <w:tc>
          <w:tcPr>
            <w:tcW w:w="10467" w:type="dxa"/>
            <w:gridSpan w:val="5"/>
            <w:shd w:val="clear" w:color="auto" w:fill="FFFFFF"/>
            <w:vAlign w:val="center"/>
          </w:tcPr>
          <w:p w14:paraId="361C310F">
            <w:pPr>
              <w:pStyle w:val="4"/>
              <w:spacing w:line="360" w:lineRule="auto"/>
              <w:ind w:left="0" w:leftChars="0"/>
              <w:rPr>
                <w:rFonts w:ascii="宋体" w:hAnsi="宋体" w:eastAsia="宋体" w:cs="宋体"/>
                <w:sz w:val="24"/>
                <w:szCs w:val="24"/>
              </w:rPr>
            </w:pPr>
            <w:r>
              <w:rPr>
                <w:rFonts w:hint="eastAsia" w:ascii="宋体" w:hAnsi="宋体" w:eastAsia="宋体" w:cs="宋体"/>
                <w:sz w:val="24"/>
                <w:szCs w:val="24"/>
              </w:rPr>
              <w:t>项目依托山东省山东省高等学校优势特色学科建设项目，主要服务国家新一代信息技术、医养健康重大战略，聚焦光电子信息、激光装备、智慧医疗、激光装备领域，突破高端激光制造、薄膜铌酸锂等卡脖子技术。在光场调控方向，突破光子芯片关键制造工艺，相关成果应用于国产光通信核心器件研发，推动光场调控技术从实验室走向工程化应用，为我省光电子信息产业集群提供了原创性技术支撑。</w:t>
            </w:r>
          </w:p>
        </w:tc>
      </w:tr>
      <w:tr w14:paraId="558DA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3345" w:type="dxa"/>
            <w:gridSpan w:val="2"/>
            <w:shd w:val="clear" w:color="auto" w:fill="FFFFFF"/>
            <w:vAlign w:val="center"/>
          </w:tcPr>
          <w:p w14:paraId="08E71311">
            <w:pPr>
              <w:rPr>
                <w:rFonts w:ascii="宋体" w:hAnsi="宋体" w:eastAsia="宋体" w:cs="宋体"/>
                <w:b/>
                <w:bCs/>
                <w:sz w:val="24"/>
                <w:szCs w:val="24"/>
              </w:rPr>
            </w:pPr>
            <w:r>
              <w:rPr>
                <w:rFonts w:hint="eastAsia" w:ascii="宋体" w:hAnsi="宋体" w:eastAsia="宋体" w:cs="宋体"/>
                <w:b/>
                <w:bCs/>
                <w:sz w:val="24"/>
                <w:szCs w:val="24"/>
              </w:rPr>
              <w:t>其他要求</w:t>
            </w:r>
          </w:p>
        </w:tc>
        <w:tc>
          <w:tcPr>
            <w:tcW w:w="10467" w:type="dxa"/>
            <w:gridSpan w:val="5"/>
            <w:shd w:val="clear" w:color="auto" w:fill="FFFFFF"/>
            <w:vAlign w:val="center"/>
          </w:tcPr>
          <w:p w14:paraId="23D32A1A">
            <w:pPr>
              <w:spacing w:line="360" w:lineRule="auto"/>
              <w:rPr>
                <w:rFonts w:ascii="宋体" w:hAnsi="宋体" w:eastAsia="宋体" w:cs="宋体"/>
                <w:b/>
                <w:bCs/>
                <w:sz w:val="24"/>
                <w:szCs w:val="24"/>
              </w:rPr>
            </w:pPr>
            <w:r>
              <w:rPr>
                <w:rFonts w:hint="eastAsia" w:ascii="宋体" w:hAnsi="宋体" w:eastAsia="宋体" w:cs="宋体"/>
                <w:b/>
                <w:bCs/>
                <w:sz w:val="24"/>
                <w:szCs w:val="24"/>
              </w:rPr>
              <w:t>投标人资格要求：</w:t>
            </w:r>
          </w:p>
          <w:p w14:paraId="7702E063">
            <w:pPr>
              <w:spacing w:line="360" w:lineRule="auto"/>
              <w:rPr>
                <w:rFonts w:ascii="宋体" w:hAnsi="宋体" w:eastAsia="宋体" w:cs="宋体"/>
                <w:sz w:val="24"/>
                <w:szCs w:val="24"/>
              </w:rPr>
            </w:pPr>
            <w:r>
              <w:rPr>
                <w:rFonts w:hint="eastAsia" w:ascii="宋体" w:hAnsi="宋体" w:eastAsia="宋体" w:cs="宋体"/>
                <w:sz w:val="24"/>
                <w:szCs w:val="24"/>
              </w:rPr>
              <w:t>1、满足《中华人民共和国政府采购法》第二十二条规定;</w:t>
            </w:r>
          </w:p>
          <w:p w14:paraId="446737F7">
            <w:pPr>
              <w:spacing w:line="360" w:lineRule="auto"/>
              <w:rPr>
                <w:rFonts w:ascii="宋体" w:hAnsi="宋体" w:eastAsia="宋体" w:cs="宋体"/>
                <w:sz w:val="24"/>
                <w:szCs w:val="24"/>
              </w:rPr>
            </w:pPr>
            <w:r>
              <w:rPr>
                <w:rFonts w:hint="eastAsia" w:ascii="宋体" w:hAnsi="宋体" w:eastAsia="宋体" w:cs="宋体"/>
                <w:sz w:val="24"/>
                <w:szCs w:val="24"/>
              </w:rPr>
              <w:t>2、落实政府采购政策需满足的资格要求：无</w:t>
            </w:r>
          </w:p>
          <w:p w14:paraId="46DADE44">
            <w:pPr>
              <w:spacing w:line="360" w:lineRule="auto"/>
              <w:rPr>
                <w:rFonts w:eastAsia="宋体"/>
              </w:rPr>
            </w:pPr>
            <w:r>
              <w:rPr>
                <w:rFonts w:hint="eastAsia" w:ascii="宋体" w:hAnsi="宋体" w:eastAsia="宋体" w:cs="宋体"/>
                <w:sz w:val="24"/>
                <w:szCs w:val="24"/>
              </w:rPr>
              <w:t>3、本项目的特定资格要求：无</w:t>
            </w:r>
          </w:p>
        </w:tc>
      </w:tr>
    </w:tbl>
    <w:p w14:paraId="3561D133">
      <w:pPr>
        <w:spacing w:line="360" w:lineRule="auto"/>
        <w:rPr>
          <w:rFonts w:ascii="宋体" w:hAnsi="宋体" w:eastAsia="宋体" w:cs="宋体"/>
          <w:b/>
          <w:bCs/>
          <w:sz w:val="28"/>
          <w:szCs w:val="28"/>
        </w:rPr>
      </w:pPr>
    </w:p>
    <w:p w14:paraId="7099890E">
      <w:pPr>
        <w:spacing w:line="360" w:lineRule="auto"/>
        <w:rPr>
          <w:rFonts w:ascii="宋体" w:hAnsi="宋体" w:eastAsia="宋体" w:cs="宋体"/>
          <w:b/>
          <w:bCs/>
          <w:sz w:val="28"/>
          <w:szCs w:val="28"/>
        </w:rPr>
      </w:pPr>
      <w:bookmarkStart w:id="0" w:name="_GoBack"/>
      <w:bookmarkEnd w:id="0"/>
      <w:r>
        <w:rPr>
          <w:rFonts w:hint="eastAsia" w:ascii="宋体" w:hAnsi="宋体" w:eastAsia="宋体" w:cs="宋体"/>
          <w:b/>
          <w:bCs/>
          <w:sz w:val="28"/>
          <w:szCs w:val="28"/>
        </w:rPr>
        <w:t>附件：详细技术要求</w:t>
      </w:r>
    </w:p>
    <w:tbl>
      <w:tblPr>
        <w:tblStyle w:val="9"/>
        <w:tblW w:w="5053" w:type="pct"/>
        <w:tblInd w:w="-2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966"/>
        <w:gridCol w:w="759"/>
        <w:gridCol w:w="674"/>
        <w:gridCol w:w="704"/>
        <w:gridCol w:w="9899"/>
      </w:tblGrid>
      <w:tr w14:paraId="202F9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288" w:type="pct"/>
            <w:vAlign w:val="center"/>
          </w:tcPr>
          <w:p w14:paraId="4D2BDA3E">
            <w:pPr>
              <w:jc w:val="both"/>
              <w:rPr>
                <w:rFonts w:ascii="宋体" w:hAnsi="宋体" w:eastAsia="宋体" w:cs="宋体"/>
                <w:b/>
                <w:bCs/>
                <w:color w:val="000000"/>
                <w:sz w:val="24"/>
                <w:szCs w:val="24"/>
              </w:rPr>
            </w:pPr>
            <w:r>
              <w:rPr>
                <w:rFonts w:hint="eastAsia" w:ascii="宋体" w:hAnsi="宋体" w:eastAsia="宋体" w:cs="宋体"/>
                <w:b/>
                <w:bCs/>
                <w:color w:val="000000"/>
                <w:sz w:val="24"/>
                <w:szCs w:val="24"/>
              </w:rPr>
              <w:t>序号</w:t>
            </w:r>
          </w:p>
        </w:tc>
        <w:tc>
          <w:tcPr>
            <w:tcW w:w="350" w:type="pct"/>
            <w:vAlign w:val="center"/>
          </w:tcPr>
          <w:p w14:paraId="2660559D">
            <w:pPr>
              <w:jc w:val="both"/>
              <w:rPr>
                <w:rFonts w:ascii="宋体" w:hAnsi="宋体" w:eastAsia="宋体" w:cs="宋体"/>
                <w:b/>
                <w:bCs/>
                <w:color w:val="000000"/>
                <w:sz w:val="24"/>
                <w:szCs w:val="24"/>
              </w:rPr>
            </w:pPr>
            <w:r>
              <w:rPr>
                <w:rFonts w:hint="eastAsia" w:ascii="宋体" w:hAnsi="宋体" w:eastAsia="宋体" w:cs="宋体"/>
                <w:b/>
                <w:bCs/>
                <w:color w:val="000000"/>
                <w:sz w:val="24"/>
                <w:szCs w:val="24"/>
              </w:rPr>
              <w:t>采购标的名称</w:t>
            </w:r>
          </w:p>
        </w:tc>
        <w:tc>
          <w:tcPr>
            <w:tcW w:w="275" w:type="pct"/>
            <w:vAlign w:val="center"/>
          </w:tcPr>
          <w:p w14:paraId="58C140C0">
            <w:pPr>
              <w:jc w:val="both"/>
              <w:rPr>
                <w:rFonts w:ascii="宋体" w:hAnsi="宋体" w:eastAsia="宋体" w:cs="宋体"/>
                <w:b/>
                <w:bCs/>
                <w:color w:val="000000"/>
                <w:sz w:val="24"/>
                <w:szCs w:val="24"/>
              </w:rPr>
            </w:pPr>
            <w:r>
              <w:rPr>
                <w:rFonts w:hint="eastAsia" w:ascii="宋体" w:hAnsi="宋体" w:eastAsia="宋体" w:cs="宋体"/>
                <w:b/>
                <w:bCs/>
                <w:color w:val="000000"/>
                <w:sz w:val="24"/>
                <w:szCs w:val="24"/>
              </w:rPr>
              <w:t>计量单位</w:t>
            </w:r>
          </w:p>
        </w:tc>
        <w:tc>
          <w:tcPr>
            <w:tcW w:w="244" w:type="pct"/>
            <w:vAlign w:val="center"/>
          </w:tcPr>
          <w:p w14:paraId="08DDE1FE">
            <w:pPr>
              <w:jc w:val="both"/>
              <w:rPr>
                <w:rFonts w:ascii="宋体" w:hAnsi="宋体" w:eastAsia="宋体" w:cs="宋体"/>
                <w:b/>
                <w:bCs/>
                <w:color w:val="000000"/>
                <w:sz w:val="24"/>
                <w:szCs w:val="24"/>
              </w:rPr>
            </w:pPr>
            <w:r>
              <w:rPr>
                <w:rFonts w:hint="eastAsia" w:ascii="宋体" w:hAnsi="宋体" w:eastAsia="宋体" w:cs="宋体"/>
                <w:b/>
                <w:bCs/>
                <w:color w:val="000000"/>
                <w:sz w:val="24"/>
                <w:szCs w:val="24"/>
              </w:rPr>
              <w:t>数量</w:t>
            </w:r>
          </w:p>
        </w:tc>
        <w:tc>
          <w:tcPr>
            <w:tcW w:w="255" w:type="pct"/>
            <w:vAlign w:val="center"/>
          </w:tcPr>
          <w:p w14:paraId="43337164">
            <w:pPr>
              <w:jc w:val="both"/>
              <w:rPr>
                <w:rFonts w:ascii="宋体" w:hAnsi="宋体" w:eastAsia="宋体" w:cs="宋体"/>
                <w:b/>
                <w:bCs/>
                <w:color w:val="000000"/>
                <w:sz w:val="24"/>
                <w:szCs w:val="24"/>
              </w:rPr>
            </w:pPr>
            <w:r>
              <w:rPr>
                <w:rFonts w:hint="eastAsia" w:ascii="宋体" w:hAnsi="宋体" w:eastAsia="宋体" w:cs="宋体"/>
                <w:b/>
                <w:bCs/>
                <w:color w:val="000000"/>
                <w:sz w:val="24"/>
                <w:szCs w:val="24"/>
              </w:rPr>
              <w:t>是否允许进口</w:t>
            </w:r>
          </w:p>
        </w:tc>
        <w:tc>
          <w:tcPr>
            <w:tcW w:w="3585" w:type="pct"/>
            <w:vAlign w:val="center"/>
          </w:tcPr>
          <w:p w14:paraId="2791D1EF">
            <w:pPr>
              <w:jc w:val="both"/>
              <w:rPr>
                <w:rFonts w:ascii="宋体" w:hAnsi="宋体" w:eastAsia="宋体" w:cs="宋体"/>
                <w:b/>
                <w:bCs/>
                <w:color w:val="000000"/>
                <w:sz w:val="24"/>
                <w:szCs w:val="24"/>
              </w:rPr>
            </w:pPr>
            <w:r>
              <w:rPr>
                <w:rFonts w:hint="eastAsia" w:ascii="宋体" w:hAnsi="宋体" w:eastAsia="宋体" w:cs="宋体"/>
                <w:b/>
                <w:bCs/>
                <w:color w:val="000000"/>
                <w:sz w:val="24"/>
                <w:szCs w:val="24"/>
              </w:rPr>
              <w:t>技术参数与性能指标</w:t>
            </w:r>
          </w:p>
        </w:tc>
      </w:tr>
      <w:tr w14:paraId="35AA9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288" w:type="pct"/>
            <w:vAlign w:val="center"/>
          </w:tcPr>
          <w:p w14:paraId="5CE885C8">
            <w:pPr>
              <w:jc w:val="both"/>
              <w:rPr>
                <w:rFonts w:ascii="宋体" w:hAnsi="宋体" w:eastAsia="宋体" w:cs="宋体"/>
                <w:b/>
                <w:bCs/>
                <w:color w:val="000000"/>
                <w:sz w:val="24"/>
                <w:szCs w:val="24"/>
              </w:rPr>
            </w:pPr>
            <w:r>
              <w:rPr>
                <w:rFonts w:hint="eastAsia" w:ascii="宋体" w:hAnsi="宋体" w:eastAsia="宋体" w:cs="宋体"/>
                <w:b/>
                <w:bCs/>
                <w:color w:val="000000"/>
                <w:sz w:val="24"/>
                <w:szCs w:val="24"/>
              </w:rPr>
              <w:t>1</w:t>
            </w:r>
          </w:p>
        </w:tc>
        <w:tc>
          <w:tcPr>
            <w:tcW w:w="350" w:type="pct"/>
            <w:vAlign w:val="center"/>
          </w:tcPr>
          <w:p w14:paraId="5F6134CD">
            <w:pPr>
              <w:jc w:val="both"/>
              <w:rPr>
                <w:rFonts w:ascii="宋体" w:hAnsi="宋体" w:eastAsia="宋体" w:cs="宋体"/>
                <w:b/>
                <w:bCs/>
                <w:color w:val="000000"/>
                <w:sz w:val="24"/>
                <w:szCs w:val="24"/>
              </w:rPr>
            </w:pPr>
            <w:r>
              <w:rPr>
                <w:rFonts w:hint="eastAsia" w:ascii="宋体" w:hAnsi="宋体" w:eastAsia="宋体" w:cs="宋体"/>
                <w:color w:val="000000"/>
                <w:sz w:val="24"/>
                <w:szCs w:val="24"/>
              </w:rPr>
              <w:t>显微成像系统</w:t>
            </w:r>
          </w:p>
        </w:tc>
        <w:tc>
          <w:tcPr>
            <w:tcW w:w="275" w:type="pct"/>
            <w:vAlign w:val="center"/>
          </w:tcPr>
          <w:p w14:paraId="2F3392F0">
            <w:pPr>
              <w:jc w:val="both"/>
              <w:rPr>
                <w:rFonts w:ascii="宋体" w:hAnsi="宋体" w:eastAsia="宋体" w:cs="宋体"/>
                <w:b/>
                <w:bCs/>
                <w:color w:val="000000"/>
                <w:sz w:val="24"/>
                <w:szCs w:val="24"/>
              </w:rPr>
            </w:pPr>
            <w:r>
              <w:rPr>
                <w:rFonts w:hint="eastAsia" w:ascii="宋体" w:hAnsi="宋体" w:eastAsia="宋体" w:cs="宋体"/>
                <w:color w:val="000000"/>
                <w:sz w:val="24"/>
                <w:szCs w:val="24"/>
              </w:rPr>
              <w:t>套</w:t>
            </w:r>
          </w:p>
        </w:tc>
        <w:tc>
          <w:tcPr>
            <w:tcW w:w="244" w:type="pct"/>
            <w:vAlign w:val="center"/>
          </w:tcPr>
          <w:p w14:paraId="6898BB54">
            <w:pPr>
              <w:jc w:val="both"/>
              <w:rPr>
                <w:rFonts w:ascii="宋体" w:hAnsi="宋体" w:eastAsia="宋体" w:cs="宋体"/>
                <w:b/>
                <w:bCs/>
                <w:color w:val="000000"/>
                <w:sz w:val="24"/>
                <w:szCs w:val="24"/>
              </w:rPr>
            </w:pPr>
            <w:r>
              <w:rPr>
                <w:rFonts w:hint="eastAsia" w:ascii="宋体" w:hAnsi="宋体" w:eastAsia="宋体" w:cs="宋体"/>
                <w:color w:val="000000"/>
                <w:sz w:val="24"/>
                <w:szCs w:val="24"/>
              </w:rPr>
              <w:t>1</w:t>
            </w:r>
          </w:p>
        </w:tc>
        <w:tc>
          <w:tcPr>
            <w:tcW w:w="255" w:type="pct"/>
            <w:vAlign w:val="center"/>
          </w:tcPr>
          <w:p w14:paraId="465783EB">
            <w:pPr>
              <w:jc w:val="both"/>
              <w:rPr>
                <w:rFonts w:ascii="宋体" w:hAnsi="宋体" w:eastAsia="宋体" w:cs="宋体"/>
                <w:b/>
                <w:bCs/>
                <w:color w:val="000000"/>
                <w:sz w:val="24"/>
                <w:szCs w:val="24"/>
              </w:rPr>
            </w:pPr>
            <w:r>
              <w:rPr>
                <w:rFonts w:hint="eastAsia" w:ascii="宋体" w:hAnsi="宋体" w:eastAsia="宋体" w:cs="宋体"/>
                <w:color w:val="000000"/>
                <w:sz w:val="24"/>
                <w:szCs w:val="24"/>
              </w:rPr>
              <w:t>否</w:t>
            </w:r>
          </w:p>
        </w:tc>
        <w:tc>
          <w:tcPr>
            <w:tcW w:w="3585" w:type="pct"/>
            <w:vAlign w:val="center"/>
          </w:tcPr>
          <w:p w14:paraId="266CB89F">
            <w:pPr>
              <w:numPr>
                <w:ilvl w:val="0"/>
                <w:numId w:val="3"/>
              </w:numPr>
              <w:jc w:val="both"/>
              <w:rPr>
                <w:rFonts w:ascii="宋体" w:hAnsi="宋体" w:eastAsia="宋体" w:cs="宋体"/>
                <w:color w:val="000000"/>
                <w:sz w:val="24"/>
                <w:szCs w:val="24"/>
              </w:rPr>
            </w:pPr>
            <w:r>
              <w:rPr>
                <w:rFonts w:hint="eastAsia" w:ascii="宋体" w:hAnsi="宋体" w:eastAsia="宋体" w:cs="宋体"/>
                <w:color w:val="000000"/>
                <w:sz w:val="24"/>
                <w:szCs w:val="24"/>
              </w:rPr>
              <w:t>技术指标:</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1.激光扫描系统:</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1.1高速扫描振镜响应时间≤250微秒（直径7mm光束，反射镜扫描0.4°）；</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1.2扫描分辨率:≥4096×4096 pixels；</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1.3采用XY双轴扫描振镜，扫描角度±22.5°；</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1.4扫描速度≥10幅/秒(分辨率 512×512 pixels)；</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1.5扫描头包含一个输入端口、一输出端口，自由空间光连接，可适配不同类型检测器；预留激发及发射端开放扩展口。</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2.探测器部分</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2.1 工作波长300-740nm；</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2.2 峰值波长520nm±5nm；</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2.3 辐射灵敏度≥185mA/W@520nm；</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2.4 PMT最大增益≥2.0×10</w:t>
            </w:r>
            <w:r>
              <w:rPr>
                <w:rFonts w:hint="eastAsia" w:ascii="宋体" w:hAnsi="宋体" w:eastAsia="宋体" w:cs="宋体"/>
                <w:color w:val="000000"/>
                <w:sz w:val="24"/>
                <w:szCs w:val="24"/>
                <w:vertAlign w:val="superscript"/>
              </w:rPr>
              <w:t xml:space="preserve">6  </w:t>
            </w:r>
            <w:r>
              <w:rPr>
                <w:rFonts w:hint="eastAsia" w:ascii="宋体" w:hAnsi="宋体" w:eastAsia="宋体" w:cs="宋体"/>
                <w:color w:val="000000"/>
                <w:sz w:val="24"/>
                <w:szCs w:val="24"/>
              </w:rPr>
              <w:t>；</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2.5 光电阴极有效面积：直径≥5mm；</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2.6 采集卡提供48个双向数字通道，≥32个单端模拟输入通道，≥16个差分模拟输入通道，四个32位计数器/定时器。</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3.正置成像光路系统</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3.1 无限远校正光学系统，整体复消色差光路；</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3.2 具有明场成像、二次谐波成像、双光子成像等功能模式；</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3.3透射光照明:高亮度LED 照明，波长530nm，寿命≥20000小时；</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3.4 具有物镜Z轴位移器分辨率≤1nm，可实现快速采集和高帧速扫描，兼容多光子和共聚焦显微应用中常用的大视场物镜，最大负载≥500g；</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3.5 XYZR四维精密组合载物台，台面尺寸直径125mm，XY轴行程±12.5mm，Z轴行程20mm，R轴行程粗调360°精调±5°；</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 xml:space="preserve">3.6 所有物镜均为复消色差物镜 </w:t>
            </w:r>
          </w:p>
          <w:p w14:paraId="33F374F8">
            <w:pPr>
              <w:jc w:val="both"/>
              <w:rPr>
                <w:rFonts w:ascii="宋体" w:hAnsi="宋体" w:eastAsia="宋体" w:cs="宋体"/>
                <w:color w:val="000000"/>
                <w:sz w:val="24"/>
                <w:szCs w:val="24"/>
              </w:rPr>
            </w:pPr>
            <w:r>
              <w:rPr>
                <w:rFonts w:hint="eastAsia" w:ascii="宋体" w:hAnsi="宋体" w:eastAsia="宋体" w:cs="宋体"/>
                <w:color w:val="000000"/>
                <w:sz w:val="24"/>
                <w:szCs w:val="24"/>
              </w:rPr>
              <w:t>3.6.1、10X平场复消色差物镜：NA≥0.25，WD≥17 mm；</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3.6.2、40X平场复消色差物镜：NA≥0.95，WD≥0.40 mm；</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3.7 配备工业面阵相机，用于明场成像；像素：≥2448×2048；像素尺寸：≥3.45*3.45μm；动态范围：≥70dB；信噪比：≥40dB，采集速度：≥60fps@2448×2048；曝光时间1μs~14μs；</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3.8采集控制及图像处理软件可实现明场及二次谐波成像模式下的高速图像采集，具有大图预览功能，可根据预览图像精确定位拍摄区域；</w:t>
            </w:r>
          </w:p>
          <w:p w14:paraId="1DDB1354">
            <w:pPr>
              <w:jc w:val="both"/>
              <w:rPr>
                <w:rFonts w:ascii="宋体" w:hAnsi="宋体" w:eastAsia="宋体" w:cs="宋体"/>
                <w:color w:val="000000"/>
                <w:sz w:val="24"/>
                <w:szCs w:val="24"/>
              </w:rPr>
            </w:pPr>
            <w:r>
              <w:rPr>
                <w:rFonts w:hint="eastAsia" w:ascii="宋体" w:hAnsi="宋体" w:eastAsia="宋体" w:cs="宋体"/>
                <w:color w:val="000000"/>
                <w:sz w:val="24"/>
                <w:szCs w:val="24"/>
              </w:rPr>
              <w:t>4.系统可以与用户的飞秒激光器耦合，实现偏振分辨的微区二次谐波测试。</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二、光谱分析模块</w:t>
            </w:r>
            <w:r>
              <w:rPr>
                <w:rFonts w:hint="eastAsia" w:ascii="宋体" w:hAnsi="宋体" w:eastAsia="宋体" w:cs="宋体"/>
                <w:color w:val="000000"/>
                <w:sz w:val="24"/>
                <w:szCs w:val="24"/>
              </w:rPr>
              <w:br w:type="textWrapping"/>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sz w:val="24"/>
                <w:szCs w:val="24"/>
              </w:rPr>
              <w:t>1.波长性能指标：波长测量范围 600～1700nm；波长精度在 1450～1620nm 区间 ±0.02nm，全波长范围 ±0.10nm；波长重复性≤0.005nm；光谱带宽≤2nm；采样分辨率≤0.001nm。</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2.功率测量与灵敏度配置：具有TRAD 模式、SMSR 模式、大动态测量模式；灵敏度量程：1300～1620nm≤- 90dBm，1000～1300nm≤- 85dBm，600～1000nm≤- 60dBm；单通道最大输入功率 + 20dBm，整机总输入功率上限+25dBm。</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3.功率测量精度：±0.4dB；功率平坦度±0.1dB（ 1520～1580nm  ），±0.2dB（1450～1520nm、1580～1620nm  ）；偏振相关性 ±0.05dB（1550/1600nm），±0.08dB（1310nm） 。</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4.动态范围与光学接口参数：动态范围随分辨率变化：≥55dB（0.02nm 分辨率）；≥72dB（0.05nm 分辨率下）光回波损耗≤35dB（APC 连接器）；兼容光纤类型：单模 SM (9.5/125)、多模 MM（GI 50/125、GI 62.5/125），最大适配芯径 200μm；配 FC/SC 光连接器， 连接适配器。</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5.系统功能、校准与扫描特性：内置波长参考校准光源，支持光轴对准调节与波长校准；配套标准电源线，标配FC光适配器。</w:t>
            </w:r>
          </w:p>
          <w:p w14:paraId="7881510F">
            <w:pPr>
              <w:jc w:val="both"/>
              <w:rPr>
                <w:rFonts w:ascii="宋体" w:hAnsi="宋体" w:eastAsia="宋体" w:cs="宋体"/>
                <w:color w:val="000000"/>
                <w:sz w:val="24"/>
                <w:szCs w:val="24"/>
              </w:rPr>
            </w:pPr>
            <w:r>
              <w:rPr>
                <w:rFonts w:hint="eastAsia" w:ascii="宋体" w:hAnsi="宋体" w:eastAsia="宋体" w:cs="宋体"/>
                <w:color w:val="000000"/>
                <w:sz w:val="24"/>
                <w:szCs w:val="24"/>
              </w:rPr>
              <w:t>三、配置清单：</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1.工业相机 1台</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2.数据采集卡及采集分析软件 1套</w:t>
            </w:r>
          </w:p>
          <w:p w14:paraId="140F9A99">
            <w:pPr>
              <w:numPr>
                <w:ilvl w:val="255"/>
                <w:numId w:val="0"/>
              </w:numPr>
              <w:jc w:val="both"/>
              <w:rPr>
                <w:rFonts w:ascii="宋体" w:hAnsi="宋体" w:eastAsia="宋体" w:cs="宋体"/>
                <w:color w:val="000000"/>
                <w:sz w:val="24"/>
                <w:szCs w:val="24"/>
              </w:rPr>
            </w:pPr>
            <w:r>
              <w:rPr>
                <w:rFonts w:hint="eastAsia" w:ascii="宋体" w:hAnsi="宋体" w:eastAsia="宋体" w:cs="宋体"/>
                <w:color w:val="000000"/>
                <w:sz w:val="24"/>
                <w:szCs w:val="24"/>
              </w:rPr>
              <w:t>3.光谱分析模块1套</w:t>
            </w:r>
          </w:p>
        </w:tc>
      </w:tr>
      <w:tr w14:paraId="68BDF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288" w:type="pct"/>
            <w:vAlign w:val="center"/>
          </w:tcPr>
          <w:p w14:paraId="6BEF7716">
            <w:pPr>
              <w:jc w:val="both"/>
              <w:rPr>
                <w:rFonts w:ascii="宋体" w:hAnsi="宋体" w:eastAsia="宋体" w:cs="宋体"/>
                <w:b/>
                <w:bCs/>
                <w:color w:val="000000"/>
                <w:sz w:val="24"/>
                <w:szCs w:val="24"/>
              </w:rPr>
            </w:pPr>
            <w:r>
              <w:rPr>
                <w:rFonts w:hint="eastAsia" w:ascii="宋体" w:hAnsi="宋体" w:eastAsia="宋体" w:cs="宋体"/>
                <w:b/>
                <w:bCs/>
                <w:color w:val="000000"/>
                <w:sz w:val="24"/>
                <w:szCs w:val="24"/>
              </w:rPr>
              <w:t>2</w:t>
            </w:r>
          </w:p>
        </w:tc>
        <w:tc>
          <w:tcPr>
            <w:tcW w:w="350" w:type="pct"/>
            <w:vAlign w:val="center"/>
          </w:tcPr>
          <w:p w14:paraId="5CB865C6">
            <w:pPr>
              <w:jc w:val="both"/>
              <w:rPr>
                <w:rFonts w:ascii="宋体" w:hAnsi="宋体" w:eastAsia="宋体" w:cs="宋体"/>
                <w:b/>
                <w:bCs/>
                <w:color w:val="000000"/>
                <w:sz w:val="24"/>
                <w:szCs w:val="24"/>
              </w:rPr>
            </w:pPr>
            <w:r>
              <w:rPr>
                <w:rFonts w:hint="eastAsia" w:ascii="宋体" w:hAnsi="宋体" w:eastAsia="宋体" w:cs="宋体"/>
                <w:color w:val="000000"/>
                <w:sz w:val="24"/>
                <w:szCs w:val="24"/>
              </w:rPr>
              <w:t>化学机械研磨抛光机</w:t>
            </w:r>
          </w:p>
        </w:tc>
        <w:tc>
          <w:tcPr>
            <w:tcW w:w="275" w:type="pct"/>
            <w:vAlign w:val="center"/>
          </w:tcPr>
          <w:p w14:paraId="29255498">
            <w:pPr>
              <w:jc w:val="both"/>
              <w:rPr>
                <w:rFonts w:ascii="宋体" w:hAnsi="宋体" w:eastAsia="宋体" w:cs="宋体"/>
                <w:b/>
                <w:bCs/>
                <w:color w:val="000000"/>
                <w:sz w:val="24"/>
                <w:szCs w:val="24"/>
              </w:rPr>
            </w:pPr>
            <w:r>
              <w:rPr>
                <w:rFonts w:hint="eastAsia" w:ascii="宋体" w:hAnsi="宋体" w:eastAsia="宋体" w:cs="宋体"/>
                <w:color w:val="000000"/>
                <w:sz w:val="24"/>
                <w:szCs w:val="24"/>
              </w:rPr>
              <w:t>套</w:t>
            </w:r>
          </w:p>
        </w:tc>
        <w:tc>
          <w:tcPr>
            <w:tcW w:w="244" w:type="pct"/>
            <w:vAlign w:val="center"/>
          </w:tcPr>
          <w:p w14:paraId="182B01C5">
            <w:pPr>
              <w:jc w:val="both"/>
              <w:rPr>
                <w:rFonts w:ascii="宋体" w:hAnsi="宋体" w:eastAsia="宋体" w:cs="宋体"/>
                <w:b/>
                <w:bCs/>
                <w:color w:val="000000"/>
                <w:sz w:val="24"/>
                <w:szCs w:val="24"/>
              </w:rPr>
            </w:pPr>
            <w:r>
              <w:rPr>
                <w:rFonts w:hint="eastAsia" w:ascii="宋体" w:hAnsi="宋体" w:eastAsia="宋体" w:cs="宋体"/>
                <w:color w:val="000000"/>
                <w:sz w:val="24"/>
                <w:szCs w:val="24"/>
              </w:rPr>
              <w:t>1</w:t>
            </w:r>
          </w:p>
        </w:tc>
        <w:tc>
          <w:tcPr>
            <w:tcW w:w="255" w:type="pct"/>
            <w:vAlign w:val="center"/>
          </w:tcPr>
          <w:p w14:paraId="44EF9F09">
            <w:pPr>
              <w:jc w:val="both"/>
              <w:rPr>
                <w:rFonts w:ascii="宋体" w:hAnsi="宋体" w:eastAsia="宋体" w:cs="宋体"/>
                <w:b/>
                <w:bCs/>
                <w:color w:val="000000"/>
                <w:sz w:val="24"/>
                <w:szCs w:val="24"/>
              </w:rPr>
            </w:pPr>
            <w:r>
              <w:rPr>
                <w:rFonts w:hint="eastAsia" w:ascii="宋体" w:hAnsi="宋体" w:eastAsia="宋体" w:cs="宋体"/>
                <w:color w:val="000000"/>
                <w:sz w:val="24"/>
                <w:szCs w:val="24"/>
              </w:rPr>
              <w:t>否</w:t>
            </w:r>
          </w:p>
        </w:tc>
        <w:tc>
          <w:tcPr>
            <w:tcW w:w="3585" w:type="pct"/>
            <w:vAlign w:val="center"/>
          </w:tcPr>
          <w:p w14:paraId="37B4E626">
            <w:pPr>
              <w:numPr>
                <w:ilvl w:val="0"/>
                <w:numId w:val="4"/>
              </w:numPr>
              <w:jc w:val="both"/>
              <w:rPr>
                <w:rFonts w:ascii="宋体" w:hAnsi="宋体" w:eastAsia="宋体" w:cs="宋体"/>
                <w:sz w:val="24"/>
                <w:szCs w:val="24"/>
              </w:rPr>
            </w:pPr>
            <w:r>
              <w:rPr>
                <w:rFonts w:hint="eastAsia" w:ascii="宋体" w:hAnsi="宋体" w:eastAsia="宋体" w:cs="宋体"/>
                <w:sz w:val="24"/>
                <w:szCs w:val="24"/>
              </w:rPr>
              <w:t>技术要求</w:t>
            </w:r>
          </w:p>
          <w:p w14:paraId="7811412D">
            <w:pPr>
              <w:jc w:val="both"/>
              <w:rPr>
                <w:rFonts w:ascii="宋体" w:hAnsi="宋体" w:eastAsia="宋体" w:cs="宋体"/>
                <w:sz w:val="24"/>
                <w:szCs w:val="24"/>
              </w:rPr>
            </w:pPr>
            <w:r>
              <w:rPr>
                <w:rFonts w:hint="eastAsia" w:ascii="宋体" w:hAnsi="宋体" w:eastAsia="宋体" w:cs="宋体"/>
                <w:sz w:val="24"/>
                <w:szCs w:val="24"/>
              </w:rPr>
              <w:t>1.研磨盘驱动电机（主轴）：交流伺服电机；</w:t>
            </w:r>
            <w:r>
              <w:rPr>
                <w:rFonts w:hint="eastAsia" w:ascii="宋体" w:hAnsi="宋体" w:eastAsia="宋体" w:cs="宋体"/>
                <w:sz w:val="24"/>
                <w:szCs w:val="24"/>
              </w:rPr>
              <w:br w:type="textWrapping"/>
            </w:r>
            <w:r>
              <w:rPr>
                <w:rFonts w:hint="eastAsia" w:ascii="宋体" w:hAnsi="宋体" w:eastAsia="宋体" w:cs="宋体"/>
                <w:sz w:val="24"/>
                <w:szCs w:val="24"/>
              </w:rPr>
              <w:t>2.研磨盘转速：10–90 rpm；</w:t>
            </w:r>
            <w:r>
              <w:rPr>
                <w:rFonts w:hint="eastAsia" w:ascii="宋体" w:hAnsi="宋体" w:eastAsia="宋体" w:cs="宋体"/>
                <w:sz w:val="24"/>
                <w:szCs w:val="24"/>
              </w:rPr>
              <w:br w:type="textWrapping"/>
            </w:r>
            <w:r>
              <w:rPr>
                <w:rFonts w:hint="eastAsia" w:ascii="宋体" w:hAnsi="宋体" w:eastAsia="宋体" w:cs="宋体"/>
                <w:sz w:val="24"/>
                <w:szCs w:val="24"/>
              </w:rPr>
              <w:t>3.研磨盘旋转方式：逆时针旋转；</w:t>
            </w:r>
          </w:p>
          <w:p w14:paraId="31EE1D64">
            <w:pPr>
              <w:jc w:val="both"/>
              <w:rPr>
                <w:rFonts w:ascii="宋体" w:hAnsi="宋体" w:eastAsia="宋体" w:cs="宋体"/>
                <w:sz w:val="24"/>
                <w:szCs w:val="24"/>
              </w:rPr>
            </w:pPr>
            <w:r>
              <w:rPr>
                <w:rFonts w:hint="eastAsia" w:ascii="宋体" w:hAnsi="宋体" w:eastAsia="宋体" w:cs="宋体"/>
                <w:sz w:val="24"/>
                <w:szCs w:val="24"/>
              </w:rPr>
              <w:t>4.研磨盘规格：铸铁花盘、平面铝盘各1个，盘外径：≥Φ500mm；</w:t>
            </w:r>
            <w:r>
              <w:rPr>
                <w:rFonts w:hint="eastAsia" w:ascii="宋体" w:hAnsi="宋体" w:eastAsia="宋体" w:cs="宋体"/>
                <w:sz w:val="24"/>
                <w:szCs w:val="24"/>
              </w:rPr>
              <w:br w:type="textWrapping"/>
            </w:r>
            <w:r>
              <w:rPr>
                <w:rFonts w:hint="eastAsia" w:ascii="宋体" w:hAnsi="宋体" w:eastAsia="宋体" w:cs="宋体"/>
                <w:sz w:val="24"/>
                <w:szCs w:val="24"/>
              </w:rPr>
              <w:t>5.载物盘规格：平面载物盘 2个，盘外径：≥Φ160mm；</w:t>
            </w:r>
            <w:r>
              <w:rPr>
                <w:rFonts w:hint="eastAsia" w:ascii="宋体" w:hAnsi="宋体" w:eastAsia="宋体" w:cs="宋体"/>
                <w:sz w:val="24"/>
                <w:szCs w:val="24"/>
              </w:rPr>
              <w:br w:type="textWrapping"/>
            </w:r>
            <w:r>
              <w:rPr>
                <w:rFonts w:hint="eastAsia" w:ascii="宋体" w:hAnsi="宋体" w:eastAsia="宋体" w:cs="宋体"/>
                <w:sz w:val="24"/>
                <w:szCs w:val="24"/>
              </w:rPr>
              <w:t>6.修盘环规格：修盘环2个，盘外径：≥Φ195mm；</w:t>
            </w:r>
            <w:r>
              <w:rPr>
                <w:rFonts w:hint="eastAsia" w:ascii="宋体" w:hAnsi="宋体" w:eastAsia="宋体" w:cs="宋体"/>
                <w:sz w:val="24"/>
                <w:szCs w:val="24"/>
              </w:rPr>
              <w:br w:type="textWrapping"/>
            </w:r>
            <w:r>
              <w:rPr>
                <w:rFonts w:hint="eastAsia" w:ascii="宋体" w:hAnsi="宋体" w:eastAsia="宋体" w:cs="宋体"/>
                <w:sz w:val="24"/>
                <w:szCs w:val="24"/>
              </w:rPr>
              <w:t xml:space="preserve">7.最大研磨样品尺寸：≥6英寸； </w:t>
            </w:r>
          </w:p>
          <w:p w14:paraId="16EA5A26">
            <w:pPr>
              <w:jc w:val="both"/>
              <w:rPr>
                <w:rFonts w:ascii="宋体" w:hAnsi="宋体" w:eastAsia="宋体" w:cs="宋体"/>
                <w:sz w:val="24"/>
                <w:szCs w:val="24"/>
              </w:rPr>
            </w:pPr>
            <w:r>
              <w:rPr>
                <w:rFonts w:hint="eastAsia" w:ascii="宋体" w:hAnsi="宋体" w:eastAsia="宋体" w:cs="宋体"/>
                <w:sz w:val="24"/>
                <w:szCs w:val="24"/>
              </w:rPr>
              <w:t>8.摆动研磨工位：3 个；</w:t>
            </w:r>
            <w:r>
              <w:rPr>
                <w:rFonts w:hint="eastAsia" w:ascii="宋体" w:hAnsi="宋体" w:eastAsia="宋体" w:cs="宋体"/>
                <w:sz w:val="24"/>
                <w:szCs w:val="24"/>
              </w:rPr>
              <w:br w:type="textWrapping"/>
            </w:r>
            <w:r>
              <w:rPr>
                <w:rFonts w:hint="eastAsia" w:ascii="宋体" w:hAnsi="宋体" w:eastAsia="宋体" w:cs="宋体"/>
                <w:sz w:val="24"/>
                <w:szCs w:val="24"/>
              </w:rPr>
              <w:t>9.摆臂驱动电机：永磁直流电机；</w:t>
            </w:r>
            <w:r>
              <w:rPr>
                <w:rFonts w:hint="eastAsia" w:ascii="宋体" w:hAnsi="宋体" w:eastAsia="宋体" w:cs="宋体"/>
                <w:sz w:val="24"/>
                <w:szCs w:val="24"/>
              </w:rPr>
              <w:br w:type="textWrapping"/>
            </w:r>
            <w:r>
              <w:rPr>
                <w:rFonts w:hint="eastAsia" w:ascii="宋体" w:hAnsi="宋体" w:eastAsia="宋体" w:cs="宋体"/>
                <w:sz w:val="24"/>
                <w:szCs w:val="24"/>
              </w:rPr>
              <w:t>10.摆臂支架摆动速度档位：15–30 档，摆臂可上翻折叠；</w:t>
            </w:r>
          </w:p>
          <w:p w14:paraId="37912EF5">
            <w:pPr>
              <w:jc w:val="both"/>
              <w:rPr>
                <w:rFonts w:ascii="宋体" w:hAnsi="宋体" w:eastAsia="宋体" w:cs="宋体"/>
                <w:sz w:val="24"/>
                <w:szCs w:val="24"/>
              </w:rPr>
            </w:pPr>
            <w:r>
              <w:rPr>
                <w:rFonts w:hint="eastAsia" w:ascii="宋体" w:hAnsi="宋体" w:eastAsia="宋体" w:cs="宋体"/>
                <w:sz w:val="24"/>
                <w:szCs w:val="24"/>
              </w:rPr>
              <w:t>11.摆臂主动轮驱动电机：步进电机；</w:t>
            </w:r>
            <w:r>
              <w:rPr>
                <w:rFonts w:hint="eastAsia" w:ascii="宋体" w:hAnsi="宋体" w:eastAsia="宋体" w:cs="宋体"/>
                <w:sz w:val="24"/>
                <w:szCs w:val="24"/>
              </w:rPr>
              <w:br w:type="textWrapping"/>
            </w:r>
            <w:r>
              <w:rPr>
                <w:rFonts w:hint="eastAsia" w:ascii="宋体" w:hAnsi="宋体" w:eastAsia="宋体" w:cs="宋体"/>
                <w:sz w:val="24"/>
                <w:szCs w:val="24"/>
              </w:rPr>
              <w:t>12.摆臂上主动轮转速：30–90rpm；</w:t>
            </w:r>
            <w:r>
              <w:rPr>
                <w:rFonts w:hint="eastAsia" w:ascii="宋体" w:hAnsi="宋体" w:eastAsia="宋体" w:cs="宋体"/>
                <w:sz w:val="24"/>
                <w:szCs w:val="24"/>
              </w:rPr>
              <w:br w:type="textWrapping"/>
            </w:r>
            <w:r>
              <w:rPr>
                <w:rFonts w:hint="eastAsia" w:ascii="宋体" w:hAnsi="宋体" w:eastAsia="宋体" w:cs="宋体"/>
                <w:sz w:val="24"/>
                <w:szCs w:val="24"/>
              </w:rPr>
              <w:t>13.精确磨抛控制仪（机械手）：1工位、带真空吸附功能载物盘：≥Φ160mm；</w:t>
            </w:r>
          </w:p>
          <w:p w14:paraId="57C34DF6">
            <w:pPr>
              <w:jc w:val="both"/>
              <w:rPr>
                <w:rFonts w:ascii="宋体" w:hAnsi="宋体" w:eastAsia="宋体" w:cs="宋体"/>
                <w:sz w:val="24"/>
                <w:szCs w:val="24"/>
              </w:rPr>
            </w:pPr>
            <w:r>
              <w:rPr>
                <w:rFonts w:hint="eastAsia" w:ascii="宋体" w:hAnsi="宋体" w:eastAsia="宋体" w:cs="宋体"/>
                <w:sz w:val="24"/>
                <w:szCs w:val="24"/>
              </w:rPr>
              <w:t>14.混料搅拌工位：2 个；</w:t>
            </w:r>
            <w:r>
              <w:rPr>
                <w:rFonts w:hint="eastAsia" w:ascii="宋体" w:hAnsi="宋体" w:eastAsia="宋体" w:cs="宋体"/>
                <w:sz w:val="24"/>
                <w:szCs w:val="24"/>
              </w:rPr>
              <w:br w:type="textWrapping"/>
            </w:r>
            <w:r>
              <w:rPr>
                <w:rFonts w:hint="eastAsia" w:ascii="宋体" w:hAnsi="宋体" w:eastAsia="宋体" w:cs="宋体"/>
                <w:sz w:val="24"/>
                <w:szCs w:val="24"/>
              </w:rPr>
              <w:t>15.混料搅拌速度：5–30rpm；</w:t>
            </w:r>
            <w:r>
              <w:rPr>
                <w:rFonts w:hint="eastAsia" w:ascii="宋体" w:hAnsi="宋体" w:eastAsia="宋体" w:cs="宋体"/>
                <w:sz w:val="24"/>
                <w:szCs w:val="24"/>
              </w:rPr>
              <w:br w:type="textWrapping"/>
            </w:r>
            <w:r>
              <w:rPr>
                <w:rFonts w:hint="eastAsia" w:ascii="宋体" w:hAnsi="宋体" w:eastAsia="宋体" w:cs="宋体"/>
                <w:sz w:val="24"/>
                <w:szCs w:val="24"/>
              </w:rPr>
              <w:t>16.混料筒容积：1.4L×2；</w:t>
            </w:r>
            <w:r>
              <w:rPr>
                <w:rFonts w:hint="eastAsia" w:ascii="宋体" w:hAnsi="宋体" w:eastAsia="宋体" w:cs="宋体"/>
                <w:sz w:val="24"/>
                <w:szCs w:val="24"/>
              </w:rPr>
              <w:br w:type="textWrapping"/>
            </w:r>
            <w:r>
              <w:rPr>
                <w:rFonts w:hint="eastAsia" w:ascii="宋体" w:hAnsi="宋体" w:eastAsia="宋体" w:cs="宋体"/>
                <w:sz w:val="24"/>
                <w:szCs w:val="24"/>
              </w:rPr>
              <w:t>17.悬浮液储液瓶容积：500mL×2；</w:t>
            </w:r>
            <w:r>
              <w:rPr>
                <w:rFonts w:hint="eastAsia" w:ascii="宋体" w:hAnsi="宋体" w:eastAsia="宋体" w:cs="宋体"/>
                <w:sz w:val="24"/>
                <w:szCs w:val="24"/>
              </w:rPr>
              <w:br w:type="textWrapping"/>
            </w:r>
            <w:r>
              <w:rPr>
                <w:rFonts w:hint="eastAsia" w:ascii="宋体" w:hAnsi="宋体" w:eastAsia="宋体" w:cs="宋体"/>
                <w:sz w:val="24"/>
                <w:szCs w:val="24"/>
              </w:rPr>
              <w:t>18.滴料工位（蠕动泵）：4 个：搅拌滴料工位 2个；悬浮滴料工位2个；</w:t>
            </w:r>
            <w:r>
              <w:rPr>
                <w:rFonts w:hint="eastAsia" w:ascii="宋体" w:hAnsi="宋体" w:eastAsia="宋体" w:cs="宋体"/>
                <w:sz w:val="24"/>
                <w:szCs w:val="24"/>
              </w:rPr>
              <w:br w:type="textWrapping"/>
            </w:r>
            <w:r>
              <w:rPr>
                <w:rFonts w:hint="eastAsia" w:ascii="宋体" w:hAnsi="宋体" w:eastAsia="宋体" w:cs="宋体"/>
                <w:sz w:val="24"/>
                <w:szCs w:val="24"/>
              </w:rPr>
              <w:t>19.滴料泵速度：0.1–20rpm；</w:t>
            </w:r>
            <w:r>
              <w:rPr>
                <w:rFonts w:hint="eastAsia" w:ascii="宋体" w:hAnsi="宋体" w:eastAsia="宋体" w:cs="宋体"/>
                <w:sz w:val="24"/>
                <w:szCs w:val="24"/>
              </w:rPr>
              <w:br w:type="textWrapping"/>
            </w:r>
            <w:r>
              <w:rPr>
                <w:rFonts w:hint="eastAsia" w:ascii="宋体" w:hAnsi="宋体" w:eastAsia="宋体" w:cs="宋体"/>
                <w:sz w:val="24"/>
                <w:szCs w:val="24"/>
              </w:rPr>
              <w:t>20.排风系统：高速过滤排风系统；</w:t>
            </w:r>
            <w:r>
              <w:rPr>
                <w:rFonts w:hint="eastAsia" w:ascii="宋体" w:hAnsi="宋体" w:eastAsia="宋体" w:cs="宋体"/>
                <w:sz w:val="24"/>
                <w:szCs w:val="24"/>
              </w:rPr>
              <w:br w:type="textWrapping"/>
            </w:r>
            <w:r>
              <w:rPr>
                <w:rFonts w:hint="eastAsia" w:ascii="宋体" w:hAnsi="宋体" w:eastAsia="宋体" w:cs="宋体"/>
                <w:sz w:val="24"/>
                <w:szCs w:val="24"/>
              </w:rPr>
              <w:t>21.研磨运行停止模式：时间模式/磨抛量模式；</w:t>
            </w:r>
            <w:r>
              <w:rPr>
                <w:rFonts w:hint="eastAsia" w:ascii="宋体" w:hAnsi="宋体" w:eastAsia="宋体" w:cs="宋体"/>
                <w:sz w:val="24"/>
                <w:szCs w:val="24"/>
              </w:rPr>
              <w:br w:type="textWrapping"/>
            </w:r>
            <w:r>
              <w:rPr>
                <w:rFonts w:hint="eastAsia" w:ascii="宋体" w:hAnsi="宋体" w:eastAsia="宋体" w:cs="宋体"/>
                <w:sz w:val="24"/>
                <w:szCs w:val="24"/>
              </w:rPr>
              <w:t>22.控制显示方式：一体式控制，≥10 寸触摸屏操作显示；</w:t>
            </w:r>
            <w:r>
              <w:rPr>
                <w:rFonts w:hint="eastAsia" w:ascii="宋体" w:hAnsi="宋体" w:eastAsia="宋体" w:cs="宋体"/>
                <w:sz w:val="24"/>
                <w:szCs w:val="24"/>
              </w:rPr>
              <w:br w:type="textWrapping"/>
            </w:r>
            <w:r>
              <w:rPr>
                <w:rFonts w:hint="eastAsia" w:ascii="宋体" w:hAnsi="宋体" w:eastAsia="宋体" w:cs="宋体"/>
                <w:sz w:val="24"/>
                <w:szCs w:val="24"/>
              </w:rPr>
              <w:t xml:space="preserve">23.具有样品清洗喷头、真空过滤罐、排废气功能，可充保护气体接口，蓝牙功能； </w:t>
            </w:r>
          </w:p>
          <w:p w14:paraId="539181A1">
            <w:pPr>
              <w:jc w:val="both"/>
              <w:rPr>
                <w:rFonts w:ascii="宋体" w:hAnsi="宋体" w:eastAsia="宋体" w:cs="宋体"/>
                <w:sz w:val="24"/>
                <w:szCs w:val="24"/>
              </w:rPr>
            </w:pPr>
            <w:r>
              <w:rPr>
                <w:rFonts w:hint="eastAsia" w:ascii="宋体" w:hAnsi="宋体" w:eastAsia="宋体" w:cs="宋体"/>
                <w:sz w:val="24"/>
                <w:szCs w:val="24"/>
              </w:rPr>
              <w:t>24.配无油真空泵一台，空气压缩机一台；</w:t>
            </w:r>
            <w:r>
              <w:rPr>
                <w:rFonts w:hint="eastAsia" w:ascii="宋体" w:hAnsi="宋体" w:eastAsia="宋体" w:cs="宋体"/>
                <w:sz w:val="24"/>
                <w:szCs w:val="24"/>
              </w:rPr>
              <w:br w:type="textWrapping"/>
            </w:r>
            <w:r>
              <w:rPr>
                <w:rFonts w:hint="eastAsia" w:ascii="宋体" w:hAnsi="宋体" w:eastAsia="宋体" w:cs="宋体"/>
                <w:sz w:val="24"/>
                <w:szCs w:val="24"/>
              </w:rPr>
              <w:t>25.厚度测试精度：≤2μm；</w:t>
            </w:r>
          </w:p>
          <w:p w14:paraId="7A92B1DA">
            <w:pPr>
              <w:jc w:val="both"/>
              <w:rPr>
                <w:rFonts w:ascii="宋体" w:hAnsi="宋体" w:eastAsia="宋体" w:cs="宋体"/>
                <w:b/>
                <w:bCs/>
                <w:color w:val="000000"/>
                <w:sz w:val="24"/>
                <w:szCs w:val="24"/>
              </w:rPr>
            </w:pPr>
            <w:r>
              <w:rPr>
                <w:rFonts w:hint="eastAsia" w:ascii="宋体" w:hAnsi="宋体" w:eastAsia="宋体" w:cs="宋体"/>
                <w:sz w:val="24"/>
                <w:szCs w:val="24"/>
              </w:rPr>
              <w:t>26.不同规格（粒径0.25µm、1µm、3µm、5µm）氧化铝、氧化铈抛光粉各2kg。</w:t>
            </w:r>
            <w:r>
              <w:rPr>
                <w:rFonts w:hint="eastAsia" w:ascii="宋体" w:hAnsi="宋体" w:eastAsia="宋体" w:cs="宋体"/>
                <w:sz w:val="24"/>
                <w:szCs w:val="24"/>
              </w:rPr>
              <w:br w:type="textWrapping"/>
            </w:r>
            <w:r>
              <w:rPr>
                <w:rFonts w:hint="eastAsia" w:ascii="宋体" w:hAnsi="宋体" w:eastAsia="宋体" w:cs="宋体"/>
                <w:sz w:val="24"/>
                <w:szCs w:val="24"/>
              </w:rPr>
              <w:t>二、测试模块:</w:t>
            </w:r>
            <w:r>
              <w:rPr>
                <w:rFonts w:hint="eastAsia" w:ascii="宋体" w:hAnsi="宋体" w:eastAsia="宋体" w:cs="宋体"/>
                <w:sz w:val="24"/>
                <w:szCs w:val="24"/>
              </w:rPr>
              <w:br w:type="textWrapping"/>
            </w:r>
            <w:r>
              <w:rPr>
                <w:rFonts w:hint="eastAsia" w:ascii="宋体" w:hAnsi="宋体" w:eastAsia="宋体" w:cs="宋体"/>
                <w:sz w:val="24"/>
                <w:szCs w:val="24"/>
              </w:rPr>
              <w:t>（一）光谱仪</w:t>
            </w:r>
            <w:r>
              <w:rPr>
                <w:rFonts w:hint="eastAsia" w:ascii="宋体" w:hAnsi="宋体" w:eastAsia="宋体" w:cs="宋体"/>
                <w:sz w:val="24"/>
                <w:szCs w:val="24"/>
              </w:rPr>
              <w:br w:type="textWrapping"/>
            </w:r>
            <w:r>
              <w:rPr>
                <w:rFonts w:hint="eastAsia" w:ascii="宋体" w:hAnsi="宋体" w:eastAsia="宋体" w:cs="宋体"/>
                <w:sz w:val="24"/>
                <w:szCs w:val="24"/>
              </w:rPr>
              <w:t>1.光谱范围：200-2000nm；</w:t>
            </w:r>
            <w:r>
              <w:rPr>
                <w:rFonts w:hint="eastAsia" w:ascii="宋体" w:hAnsi="宋体" w:eastAsia="宋体" w:cs="宋体"/>
                <w:sz w:val="24"/>
                <w:szCs w:val="24"/>
              </w:rPr>
              <w:br w:type="textWrapping"/>
            </w:r>
            <w:r>
              <w:rPr>
                <w:rFonts w:hint="eastAsia" w:ascii="宋体" w:hAnsi="宋体" w:eastAsia="宋体" w:cs="宋体"/>
                <w:sz w:val="24"/>
                <w:szCs w:val="24"/>
              </w:rPr>
              <w:t>2.通光效率：F/6.5；</w:t>
            </w:r>
            <w:r>
              <w:rPr>
                <w:rFonts w:hint="eastAsia" w:ascii="宋体" w:hAnsi="宋体" w:eastAsia="宋体" w:cs="宋体"/>
                <w:sz w:val="24"/>
                <w:szCs w:val="24"/>
              </w:rPr>
              <w:br w:type="textWrapping"/>
            </w:r>
            <w:r>
              <w:rPr>
                <w:rFonts w:hint="eastAsia" w:ascii="宋体" w:hAnsi="宋体" w:eastAsia="宋体" w:cs="宋体"/>
                <w:sz w:val="24"/>
                <w:szCs w:val="24"/>
              </w:rPr>
              <w:t>3.光谱仪焦长：≥500mm ；</w:t>
            </w:r>
            <w:r>
              <w:rPr>
                <w:rFonts w:hint="eastAsia" w:ascii="宋体" w:hAnsi="宋体" w:eastAsia="宋体" w:cs="宋体"/>
                <w:sz w:val="24"/>
                <w:szCs w:val="24"/>
              </w:rPr>
              <w:br w:type="textWrapping"/>
            </w:r>
            <w:r>
              <w:rPr>
                <w:rFonts w:hint="eastAsia" w:ascii="宋体" w:hAnsi="宋体" w:eastAsia="宋体" w:cs="宋体"/>
                <w:sz w:val="24"/>
                <w:szCs w:val="24"/>
              </w:rPr>
              <w:t>4.光谱仪接口：双入口狭缝，双出口相机，电动切换；</w:t>
            </w:r>
            <w:r>
              <w:rPr>
                <w:rFonts w:hint="eastAsia" w:ascii="宋体" w:hAnsi="宋体" w:eastAsia="宋体" w:cs="宋体"/>
                <w:sz w:val="24"/>
                <w:szCs w:val="24"/>
              </w:rPr>
              <w:br w:type="textWrapping"/>
            </w:r>
            <w:r>
              <w:rPr>
                <w:rFonts w:hint="eastAsia" w:ascii="宋体" w:hAnsi="宋体" w:eastAsia="宋体" w:cs="宋体"/>
                <w:sz w:val="24"/>
                <w:szCs w:val="24"/>
              </w:rPr>
              <w:t>5.光谱仪入口配置C型照相机接口适配器，以及用于传递图像的光学原件，可将倒置显微镜侧出口像面的图像传递到光谱仪入口狭缝；</w:t>
            </w:r>
            <w:r>
              <w:rPr>
                <w:rFonts w:hint="eastAsia" w:ascii="宋体" w:hAnsi="宋体" w:eastAsia="宋体" w:cs="宋体"/>
                <w:sz w:val="24"/>
                <w:szCs w:val="24"/>
              </w:rPr>
              <w:br w:type="textWrapping"/>
            </w:r>
            <w:r>
              <w:rPr>
                <w:rFonts w:hint="eastAsia" w:ascii="宋体" w:hAnsi="宋体" w:eastAsia="宋体" w:cs="宋体"/>
                <w:sz w:val="24"/>
                <w:szCs w:val="24"/>
              </w:rPr>
              <w:t>6.光谱仪侧入口配置快门；</w:t>
            </w:r>
            <w:r>
              <w:rPr>
                <w:rFonts w:hint="eastAsia" w:ascii="宋体" w:hAnsi="宋体" w:eastAsia="宋体" w:cs="宋体"/>
                <w:sz w:val="24"/>
                <w:szCs w:val="24"/>
              </w:rPr>
              <w:br w:type="textWrapping"/>
            </w:r>
            <w:r>
              <w:rPr>
                <w:rFonts w:hint="eastAsia" w:ascii="宋体" w:hAnsi="宋体" w:eastAsia="宋体" w:cs="宋体"/>
                <w:sz w:val="24"/>
                <w:szCs w:val="24"/>
              </w:rPr>
              <w:t>7.光谱仪侧面入口配置电动宽狭缝，10um-2.5mm软件可调和15x15mm窗口；</w:t>
            </w:r>
            <w:r>
              <w:rPr>
                <w:rFonts w:hint="eastAsia" w:ascii="宋体" w:hAnsi="宋体" w:eastAsia="宋体" w:cs="宋体"/>
                <w:sz w:val="24"/>
                <w:szCs w:val="24"/>
              </w:rPr>
              <w:br w:type="textWrapping"/>
            </w:r>
            <w:r>
              <w:rPr>
                <w:rFonts w:hint="eastAsia" w:ascii="宋体" w:hAnsi="宋体" w:eastAsia="宋体" w:cs="宋体"/>
                <w:sz w:val="24"/>
                <w:szCs w:val="24"/>
              </w:rPr>
              <w:t>8.光谱分辨率（半高宽）≤0.06nm；</w:t>
            </w:r>
            <w:r>
              <w:rPr>
                <w:rFonts w:hint="eastAsia" w:ascii="宋体" w:hAnsi="宋体" w:eastAsia="宋体" w:cs="宋体"/>
                <w:sz w:val="24"/>
                <w:szCs w:val="24"/>
              </w:rPr>
              <w:br w:type="textWrapping"/>
            </w:r>
            <w:r>
              <w:rPr>
                <w:rFonts w:hint="eastAsia" w:ascii="宋体" w:hAnsi="宋体" w:eastAsia="宋体" w:cs="宋体"/>
                <w:sz w:val="24"/>
                <w:szCs w:val="24"/>
              </w:rPr>
              <w:t>9.光谱重复性：≤ 0.05nm；</w:t>
            </w:r>
            <w:r>
              <w:rPr>
                <w:rFonts w:hint="eastAsia" w:ascii="宋体" w:hAnsi="宋体" w:eastAsia="宋体" w:cs="宋体"/>
                <w:sz w:val="24"/>
                <w:szCs w:val="24"/>
              </w:rPr>
              <w:br w:type="textWrapping"/>
            </w:r>
            <w:r>
              <w:rPr>
                <w:rFonts w:hint="eastAsia" w:ascii="宋体" w:hAnsi="宋体" w:eastAsia="宋体" w:cs="宋体"/>
                <w:sz w:val="24"/>
                <w:szCs w:val="24"/>
              </w:rPr>
              <w:t>10.光谱准确性：±0.5nm（校正后）；</w:t>
            </w:r>
            <w:r>
              <w:rPr>
                <w:rFonts w:hint="eastAsia" w:ascii="宋体" w:hAnsi="宋体" w:eastAsia="宋体" w:cs="宋体"/>
                <w:sz w:val="24"/>
                <w:szCs w:val="24"/>
              </w:rPr>
              <w:br w:type="textWrapping"/>
            </w:r>
            <w:r>
              <w:rPr>
                <w:rFonts w:hint="eastAsia" w:ascii="宋体" w:hAnsi="宋体" w:eastAsia="宋体" w:cs="宋体"/>
                <w:sz w:val="24"/>
                <w:szCs w:val="24"/>
              </w:rPr>
              <w:t>11.光谱色散平场输出 (与CD芯片平面吻合)，光谱在CCD上的不同位置具有同样的强度和分辨率；</w:t>
            </w:r>
            <w:r>
              <w:rPr>
                <w:rFonts w:hint="eastAsia" w:ascii="宋体" w:hAnsi="宋体" w:eastAsia="宋体" w:cs="宋体"/>
                <w:sz w:val="24"/>
                <w:szCs w:val="24"/>
              </w:rPr>
              <w:br w:type="textWrapping"/>
            </w:r>
            <w:r>
              <w:rPr>
                <w:rFonts w:hint="eastAsia" w:ascii="宋体" w:hAnsi="宋体" w:eastAsia="宋体" w:cs="宋体"/>
                <w:sz w:val="24"/>
                <w:szCs w:val="24"/>
              </w:rPr>
              <w:t>12.配置三块光栅，一块300I/mm（闪耀波长1700nm）光栅，两块1200I/mm(闪耀波长300nm,500nm)光栅，软件控制自动转换；</w:t>
            </w:r>
            <w:r>
              <w:rPr>
                <w:rFonts w:hint="eastAsia" w:ascii="宋体" w:hAnsi="宋体" w:eastAsia="宋体" w:cs="宋体"/>
                <w:sz w:val="24"/>
                <w:szCs w:val="24"/>
              </w:rPr>
              <w:br w:type="textWrapping"/>
            </w:r>
            <w:r>
              <w:rPr>
                <w:rFonts w:hint="eastAsia" w:ascii="宋体" w:hAnsi="宋体" w:eastAsia="宋体" w:cs="宋体"/>
                <w:sz w:val="24"/>
                <w:szCs w:val="24"/>
              </w:rPr>
              <w:t>13.无色差设计。</w:t>
            </w:r>
            <w:r>
              <w:rPr>
                <w:rFonts w:hint="eastAsia" w:ascii="宋体" w:hAnsi="宋体" w:eastAsia="宋体" w:cs="宋体"/>
                <w:sz w:val="24"/>
                <w:szCs w:val="24"/>
              </w:rPr>
              <w:br w:type="textWrapping"/>
            </w:r>
            <w:r>
              <w:rPr>
                <w:rFonts w:hint="eastAsia" w:ascii="宋体" w:hAnsi="宋体" w:eastAsia="宋体" w:cs="宋体"/>
                <w:sz w:val="24"/>
                <w:szCs w:val="24"/>
              </w:rPr>
              <w:t>（二）CCD探测器</w:t>
            </w:r>
            <w:r>
              <w:rPr>
                <w:rFonts w:hint="eastAsia" w:ascii="宋体" w:hAnsi="宋体" w:eastAsia="宋体" w:cs="宋体"/>
                <w:sz w:val="24"/>
                <w:szCs w:val="24"/>
              </w:rPr>
              <w:br w:type="textWrapping"/>
            </w:r>
            <w:r>
              <w:rPr>
                <w:rFonts w:hint="eastAsia" w:ascii="宋体" w:hAnsi="宋体" w:eastAsia="宋体" w:cs="宋体"/>
                <w:sz w:val="24"/>
                <w:szCs w:val="24"/>
              </w:rPr>
              <w:t>1.同时支持成像和光谱两种模式；</w:t>
            </w:r>
            <w:r>
              <w:rPr>
                <w:rFonts w:hint="eastAsia" w:ascii="宋体" w:hAnsi="宋体" w:eastAsia="宋体" w:cs="宋体"/>
                <w:sz w:val="24"/>
                <w:szCs w:val="24"/>
              </w:rPr>
              <w:br w:type="textWrapping"/>
            </w:r>
            <w:r>
              <w:rPr>
                <w:rFonts w:hint="eastAsia" w:ascii="宋体" w:hAnsi="宋体" w:eastAsia="宋体" w:cs="宋体"/>
                <w:sz w:val="24"/>
                <w:szCs w:val="24"/>
              </w:rPr>
              <w:t>2.像元数≥1024x255；</w:t>
            </w:r>
            <w:r>
              <w:rPr>
                <w:rFonts w:hint="eastAsia" w:ascii="宋体" w:hAnsi="宋体" w:eastAsia="宋体" w:cs="宋体"/>
                <w:sz w:val="24"/>
                <w:szCs w:val="24"/>
              </w:rPr>
              <w:br w:type="textWrapping"/>
            </w:r>
            <w:r>
              <w:rPr>
                <w:rFonts w:hint="eastAsia" w:ascii="宋体" w:hAnsi="宋体" w:eastAsia="宋体" w:cs="宋体"/>
                <w:sz w:val="24"/>
                <w:szCs w:val="24"/>
              </w:rPr>
              <w:t>3.像元大小≤26x26μm，芯片尺寸≥26.7x6.7mm；</w:t>
            </w:r>
            <w:r>
              <w:rPr>
                <w:rFonts w:hint="eastAsia" w:ascii="宋体" w:hAnsi="宋体" w:eastAsia="宋体" w:cs="宋体"/>
                <w:sz w:val="24"/>
                <w:szCs w:val="24"/>
              </w:rPr>
              <w:br w:type="textWrapping"/>
            </w:r>
            <w:r>
              <w:rPr>
                <w:rFonts w:hint="eastAsia" w:ascii="宋体" w:hAnsi="宋体" w:eastAsia="宋体" w:cs="宋体"/>
                <w:sz w:val="24"/>
                <w:szCs w:val="24"/>
              </w:rPr>
              <w:t>4.开放电极CCD，科学1级，峰值量子效率≥55%；</w:t>
            </w:r>
            <w:r>
              <w:rPr>
                <w:rFonts w:hint="eastAsia" w:ascii="宋体" w:hAnsi="宋体" w:eastAsia="宋体" w:cs="宋体"/>
                <w:sz w:val="24"/>
                <w:szCs w:val="24"/>
              </w:rPr>
              <w:br w:type="textWrapping"/>
            </w:r>
            <w:r>
              <w:rPr>
                <w:rFonts w:hint="eastAsia" w:ascii="宋体" w:hAnsi="宋体" w:eastAsia="宋体" w:cs="宋体"/>
                <w:sz w:val="24"/>
                <w:szCs w:val="24"/>
              </w:rPr>
              <w:t>5.探测光谱范围：200 ~ 1100 nm ；</w:t>
            </w:r>
            <w:r>
              <w:rPr>
                <w:rFonts w:hint="eastAsia" w:ascii="宋体" w:hAnsi="宋体" w:eastAsia="宋体" w:cs="宋体"/>
                <w:sz w:val="24"/>
                <w:szCs w:val="24"/>
              </w:rPr>
              <w:br w:type="textWrapping"/>
            </w:r>
            <w:r>
              <w:rPr>
                <w:rFonts w:hint="eastAsia" w:ascii="宋体" w:hAnsi="宋体" w:eastAsia="宋体" w:cs="宋体"/>
                <w:sz w:val="24"/>
                <w:szCs w:val="24"/>
              </w:rPr>
              <w:t>6.最低制冷温度-100C，采用热电制冷，同时支持风冷和水冷散热；</w:t>
            </w:r>
            <w:r>
              <w:rPr>
                <w:rFonts w:hint="eastAsia" w:ascii="宋体" w:hAnsi="宋体" w:eastAsia="宋体" w:cs="宋体"/>
                <w:sz w:val="24"/>
                <w:szCs w:val="24"/>
              </w:rPr>
              <w:br w:type="textWrapping"/>
            </w:r>
            <w:r>
              <w:rPr>
                <w:rFonts w:hint="eastAsia" w:ascii="宋体" w:hAnsi="宋体" w:eastAsia="宋体" w:cs="宋体"/>
                <w:sz w:val="24"/>
                <w:szCs w:val="24"/>
              </w:rPr>
              <w:t>7.读出速率：3/1/0.05 MHz，50kHz下的读出噪声&lt; 8电子/像元；</w:t>
            </w:r>
            <w:r>
              <w:rPr>
                <w:rFonts w:hint="eastAsia" w:ascii="宋体" w:hAnsi="宋体" w:eastAsia="宋体" w:cs="宋体"/>
                <w:sz w:val="24"/>
                <w:szCs w:val="24"/>
              </w:rPr>
              <w:br w:type="textWrapping"/>
            </w:r>
            <w:r>
              <w:rPr>
                <w:rFonts w:hint="eastAsia" w:ascii="宋体" w:hAnsi="宋体" w:eastAsia="宋体" w:cs="宋体"/>
                <w:sz w:val="24"/>
                <w:szCs w:val="24"/>
              </w:rPr>
              <w:t>8.数位：≥16位；</w:t>
            </w:r>
            <w:r>
              <w:rPr>
                <w:rFonts w:hint="eastAsia" w:ascii="宋体" w:hAnsi="宋体" w:eastAsia="宋体" w:cs="宋体"/>
                <w:sz w:val="24"/>
                <w:szCs w:val="24"/>
              </w:rPr>
              <w:br w:type="textWrapping"/>
            </w:r>
            <w:r>
              <w:rPr>
                <w:rFonts w:hint="eastAsia" w:ascii="宋体" w:hAnsi="宋体" w:eastAsia="宋体" w:cs="宋体"/>
                <w:sz w:val="24"/>
                <w:szCs w:val="24"/>
              </w:rPr>
              <w:t>9.暗噪声（最低制冷温度）≤0.0003电子/像元/秒；</w:t>
            </w:r>
            <w:r>
              <w:rPr>
                <w:rFonts w:hint="eastAsia" w:ascii="宋体" w:hAnsi="宋体" w:eastAsia="宋体" w:cs="宋体"/>
                <w:sz w:val="24"/>
                <w:szCs w:val="24"/>
              </w:rPr>
              <w:br w:type="textWrapping"/>
            </w:r>
            <w:r>
              <w:rPr>
                <w:rFonts w:hint="eastAsia" w:ascii="宋体" w:hAnsi="宋体" w:eastAsia="宋体" w:cs="宋体"/>
                <w:sz w:val="24"/>
                <w:szCs w:val="24"/>
              </w:rPr>
              <w:t>（三）软件</w:t>
            </w:r>
            <w:r>
              <w:rPr>
                <w:rFonts w:hint="eastAsia" w:ascii="宋体" w:hAnsi="宋体" w:eastAsia="宋体" w:cs="宋体"/>
                <w:sz w:val="24"/>
                <w:szCs w:val="24"/>
              </w:rPr>
              <w:br w:type="textWrapping"/>
            </w:r>
            <w:r>
              <w:rPr>
                <w:rFonts w:hint="eastAsia" w:ascii="宋体" w:hAnsi="宋体" w:eastAsia="宋体" w:cs="宋体"/>
                <w:sz w:val="24"/>
                <w:szCs w:val="24"/>
              </w:rPr>
              <w:t>1.支持光谱仪和CCD探测器联用；</w:t>
            </w:r>
            <w:r>
              <w:rPr>
                <w:rFonts w:hint="eastAsia" w:ascii="宋体" w:hAnsi="宋体" w:eastAsia="宋体" w:cs="宋体"/>
                <w:sz w:val="24"/>
                <w:szCs w:val="24"/>
              </w:rPr>
              <w:br w:type="textWrapping"/>
            </w:r>
            <w:r>
              <w:rPr>
                <w:rFonts w:hint="eastAsia" w:ascii="宋体" w:hAnsi="宋体" w:eastAsia="宋体" w:cs="宋体"/>
                <w:sz w:val="24"/>
                <w:szCs w:val="24"/>
              </w:rPr>
              <w:t>2.光谱仪支持自动校准和校准数据保存等功能；</w:t>
            </w:r>
            <w:r>
              <w:rPr>
                <w:rFonts w:hint="eastAsia" w:ascii="宋体" w:hAnsi="宋体" w:eastAsia="宋体" w:cs="宋体"/>
                <w:sz w:val="24"/>
                <w:szCs w:val="24"/>
              </w:rPr>
              <w:br w:type="textWrapping"/>
            </w:r>
            <w:r>
              <w:rPr>
                <w:rFonts w:hint="eastAsia" w:ascii="宋体" w:hAnsi="宋体" w:eastAsia="宋体" w:cs="宋体"/>
                <w:sz w:val="24"/>
                <w:szCs w:val="24"/>
              </w:rPr>
              <w:t>3.提供SDK。</w:t>
            </w:r>
          </w:p>
        </w:tc>
      </w:tr>
      <w:tr w14:paraId="66953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288" w:type="pct"/>
            <w:vAlign w:val="center"/>
          </w:tcPr>
          <w:p w14:paraId="59B02115">
            <w:pPr>
              <w:jc w:val="both"/>
              <w:rPr>
                <w:rFonts w:ascii="宋体" w:hAnsi="宋体" w:eastAsia="宋体" w:cs="宋体"/>
                <w:b/>
                <w:bCs/>
                <w:color w:val="000000"/>
                <w:sz w:val="24"/>
                <w:szCs w:val="24"/>
              </w:rPr>
            </w:pPr>
            <w:r>
              <w:rPr>
                <w:rFonts w:hint="eastAsia" w:ascii="宋体" w:hAnsi="宋体" w:eastAsia="宋体" w:cs="宋体"/>
                <w:b/>
                <w:bCs/>
                <w:color w:val="000000"/>
                <w:sz w:val="24"/>
                <w:szCs w:val="24"/>
              </w:rPr>
              <w:t>3</w:t>
            </w:r>
          </w:p>
        </w:tc>
        <w:tc>
          <w:tcPr>
            <w:tcW w:w="350" w:type="pct"/>
            <w:vAlign w:val="center"/>
          </w:tcPr>
          <w:p w14:paraId="54F1F918">
            <w:pPr>
              <w:jc w:val="both"/>
              <w:rPr>
                <w:rFonts w:ascii="宋体" w:hAnsi="宋体" w:eastAsia="宋体" w:cs="宋体"/>
                <w:b/>
                <w:bCs/>
                <w:color w:val="000000"/>
                <w:sz w:val="24"/>
                <w:szCs w:val="24"/>
              </w:rPr>
            </w:pPr>
            <w:r>
              <w:rPr>
                <w:rFonts w:hint="eastAsia" w:ascii="宋体" w:hAnsi="宋体" w:eastAsia="宋体" w:cs="宋体"/>
                <w:color w:val="000000"/>
                <w:sz w:val="24"/>
                <w:szCs w:val="24"/>
              </w:rPr>
              <w:t>等离子清洗机</w:t>
            </w:r>
          </w:p>
        </w:tc>
        <w:tc>
          <w:tcPr>
            <w:tcW w:w="275" w:type="pct"/>
            <w:vAlign w:val="center"/>
          </w:tcPr>
          <w:p w14:paraId="61EDFF15">
            <w:pPr>
              <w:jc w:val="both"/>
              <w:rPr>
                <w:rFonts w:ascii="宋体" w:hAnsi="宋体" w:eastAsia="宋体" w:cs="宋体"/>
                <w:b/>
                <w:bCs/>
                <w:color w:val="000000"/>
                <w:sz w:val="24"/>
                <w:szCs w:val="24"/>
              </w:rPr>
            </w:pPr>
            <w:r>
              <w:rPr>
                <w:rFonts w:hint="eastAsia" w:ascii="宋体" w:hAnsi="宋体" w:eastAsia="宋体" w:cs="宋体"/>
                <w:color w:val="000000"/>
                <w:sz w:val="24"/>
                <w:szCs w:val="24"/>
              </w:rPr>
              <w:t>套</w:t>
            </w:r>
          </w:p>
        </w:tc>
        <w:tc>
          <w:tcPr>
            <w:tcW w:w="244" w:type="pct"/>
            <w:vAlign w:val="center"/>
          </w:tcPr>
          <w:p w14:paraId="025FC204">
            <w:pPr>
              <w:jc w:val="both"/>
              <w:rPr>
                <w:rFonts w:ascii="宋体" w:hAnsi="宋体" w:eastAsia="宋体" w:cs="宋体"/>
                <w:b/>
                <w:bCs/>
                <w:color w:val="000000"/>
                <w:sz w:val="24"/>
                <w:szCs w:val="24"/>
              </w:rPr>
            </w:pPr>
            <w:r>
              <w:rPr>
                <w:rFonts w:hint="eastAsia" w:ascii="宋体" w:hAnsi="宋体" w:eastAsia="宋体" w:cs="宋体"/>
                <w:color w:val="000000"/>
                <w:sz w:val="24"/>
                <w:szCs w:val="24"/>
              </w:rPr>
              <w:t>1</w:t>
            </w:r>
          </w:p>
        </w:tc>
        <w:tc>
          <w:tcPr>
            <w:tcW w:w="255" w:type="pct"/>
            <w:vAlign w:val="center"/>
          </w:tcPr>
          <w:p w14:paraId="2EA2D0D2">
            <w:pPr>
              <w:jc w:val="both"/>
              <w:rPr>
                <w:rFonts w:ascii="宋体" w:hAnsi="宋体" w:eastAsia="宋体" w:cs="宋体"/>
                <w:b/>
                <w:bCs/>
                <w:color w:val="000000"/>
                <w:sz w:val="24"/>
                <w:szCs w:val="24"/>
              </w:rPr>
            </w:pPr>
            <w:r>
              <w:rPr>
                <w:rFonts w:hint="eastAsia" w:ascii="宋体" w:hAnsi="宋体" w:eastAsia="宋体" w:cs="宋体"/>
                <w:color w:val="000000"/>
                <w:sz w:val="24"/>
                <w:szCs w:val="24"/>
              </w:rPr>
              <w:t>否</w:t>
            </w:r>
          </w:p>
        </w:tc>
        <w:tc>
          <w:tcPr>
            <w:tcW w:w="3585" w:type="pct"/>
            <w:vAlign w:val="center"/>
          </w:tcPr>
          <w:p w14:paraId="3731D911">
            <w:pPr>
              <w:numPr>
                <w:ilvl w:val="0"/>
                <w:numId w:val="5"/>
              </w:numPr>
              <w:jc w:val="both"/>
              <w:rPr>
                <w:rFonts w:ascii="宋体" w:hAnsi="宋体" w:eastAsia="宋体" w:cs="宋体"/>
                <w:color w:val="000000"/>
                <w:sz w:val="24"/>
                <w:szCs w:val="24"/>
              </w:rPr>
            </w:pPr>
            <w:r>
              <w:rPr>
                <w:rFonts w:hint="eastAsia" w:ascii="宋体" w:hAnsi="宋体" w:eastAsia="宋体" w:cs="宋体"/>
                <w:color w:val="000000"/>
                <w:sz w:val="24"/>
                <w:szCs w:val="24"/>
              </w:rPr>
              <w:t>技术要求</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1. 等离子体RF频率：13.56 MHz；</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2.等离子功率：0-500W可调；</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3.真空腔体材质：航空铝材；</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4.腔体容积：</w:t>
            </w:r>
            <w:r>
              <w:rPr>
                <w:rFonts w:hint="eastAsia" w:ascii="宋体" w:hAnsi="宋体" w:eastAsia="宋体" w:cs="宋体"/>
                <w:sz w:val="24"/>
                <w:szCs w:val="24"/>
              </w:rPr>
              <w:t>≥</w:t>
            </w:r>
            <w:r>
              <w:rPr>
                <w:rFonts w:hint="eastAsia" w:ascii="宋体" w:hAnsi="宋体" w:eastAsia="宋体" w:cs="宋体"/>
                <w:color w:val="000000"/>
                <w:sz w:val="24"/>
                <w:szCs w:val="24"/>
              </w:rPr>
              <w:t>44L；</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5.有效处理空间：</w:t>
            </w:r>
            <w:r>
              <w:rPr>
                <w:rFonts w:hint="eastAsia" w:ascii="宋体" w:hAnsi="宋体" w:eastAsia="宋体" w:cs="宋体"/>
                <w:sz w:val="24"/>
                <w:szCs w:val="24"/>
              </w:rPr>
              <w:t>≥</w:t>
            </w:r>
            <w:r>
              <w:rPr>
                <w:rFonts w:hint="eastAsia" w:ascii="宋体" w:hAnsi="宋体" w:eastAsia="宋体" w:cs="宋体"/>
                <w:color w:val="000000"/>
                <w:sz w:val="24"/>
                <w:szCs w:val="24"/>
              </w:rPr>
              <w:t>320(W)×310(D)×29(H)mm；</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6.处理层数：4层；</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7.电极：高导电铝合金专用电极；</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8.气路：2路；</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9.气体流量控制器：MFC质量流量计；</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10.真空测量：真空计；</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11.控制方式：触摸屏+PLC；</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12.真空泵：干泵流速</w:t>
            </w:r>
            <w:r>
              <w:rPr>
                <w:rFonts w:hint="eastAsia" w:ascii="宋体" w:hAnsi="宋体" w:eastAsia="宋体" w:cs="宋体"/>
                <w:sz w:val="24"/>
                <w:szCs w:val="24"/>
              </w:rPr>
              <w:t>≥</w:t>
            </w:r>
            <w:r>
              <w:rPr>
                <w:rFonts w:hint="eastAsia" w:ascii="宋体" w:hAnsi="宋体" w:eastAsia="宋体" w:cs="宋体"/>
                <w:color w:val="000000"/>
                <w:sz w:val="24"/>
                <w:szCs w:val="24"/>
              </w:rPr>
              <w:t>30 m³/h；</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13.工作真空度：≤30Pa；</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二、高压放大器模块:</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1、主信号通道性能指标</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1.1 输出电压范围：0至±20 kV DC 或峰值交流电，输出电流范围：0至±20 mA DC 或峰值交流电，输入电压范围：0至±10V DC 或峰值交流电；</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1.2直流电压增益：2000 V/V；</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1.3直流电压增益精度：≤满量程的0.1%；</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1.4 直流偏移电压：优于±2 V；</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1.5 输出噪声：≤1.5 V rms；</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▲1.6压摆率：</w:t>
            </w:r>
            <w:r>
              <w:rPr>
                <w:rFonts w:hint="eastAsia" w:ascii="宋体" w:hAnsi="宋体" w:eastAsia="宋体" w:cs="宋体"/>
                <w:sz w:val="24"/>
                <w:szCs w:val="24"/>
              </w:rPr>
              <w:t>≥</w:t>
            </w:r>
            <w:r>
              <w:rPr>
                <w:rFonts w:hint="eastAsia" w:ascii="宋体" w:hAnsi="宋体" w:eastAsia="宋体" w:cs="宋体"/>
                <w:color w:val="000000"/>
                <w:sz w:val="24"/>
                <w:szCs w:val="24"/>
              </w:rPr>
              <w:t>800 V/μs；</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2、电压监测输出规格</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2.1 分压比率：高压输出的1/2000；</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2.2 直流精度：≤满量程的 0.1%；</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2.3 直流偏移电压：±2 mV；</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2.4 输出噪声：≤10 mV rms；</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3、电流监测输出规格</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3.1 转换比率：1 V/6 mA；</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3.2 直流精度：≤满量程的1%；</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3.3 偏移电压：±10 mV；</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3.4 输出噪声：≤30 mV rms；</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4、具有高压输出连接器及BNC接口；</w:t>
            </w:r>
          </w:p>
          <w:p w14:paraId="0127953F">
            <w:pPr>
              <w:jc w:val="both"/>
              <w:rPr>
                <w:rFonts w:ascii="宋体" w:hAnsi="宋体" w:eastAsia="宋体" w:cs="宋体"/>
                <w:color w:val="000000"/>
                <w:sz w:val="24"/>
                <w:szCs w:val="24"/>
              </w:rPr>
            </w:pPr>
            <w:r>
              <w:rPr>
                <w:rFonts w:hint="eastAsia" w:ascii="宋体" w:hAnsi="宋体" w:eastAsia="宋体" w:cs="宋体"/>
                <w:color w:val="000000"/>
                <w:sz w:val="24"/>
                <w:szCs w:val="24"/>
              </w:rPr>
              <w:t>5、具有控制保护功能；</w:t>
            </w:r>
          </w:p>
        </w:tc>
      </w:tr>
      <w:tr w14:paraId="7DD89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288" w:type="pct"/>
            <w:vAlign w:val="center"/>
          </w:tcPr>
          <w:p w14:paraId="046836EF">
            <w:pPr>
              <w:jc w:val="both"/>
              <w:rPr>
                <w:rFonts w:ascii="宋体" w:hAnsi="宋体" w:eastAsia="宋体" w:cs="宋体"/>
                <w:b/>
                <w:bCs/>
                <w:color w:val="000000"/>
                <w:sz w:val="24"/>
                <w:szCs w:val="24"/>
              </w:rPr>
            </w:pPr>
            <w:r>
              <w:rPr>
                <w:rFonts w:hint="eastAsia" w:ascii="宋体" w:hAnsi="宋体" w:eastAsia="宋体" w:cs="宋体"/>
                <w:b/>
                <w:bCs/>
                <w:color w:val="000000"/>
                <w:sz w:val="24"/>
                <w:szCs w:val="24"/>
              </w:rPr>
              <w:t>4</w:t>
            </w:r>
          </w:p>
        </w:tc>
        <w:tc>
          <w:tcPr>
            <w:tcW w:w="350" w:type="pct"/>
            <w:vAlign w:val="center"/>
          </w:tcPr>
          <w:p w14:paraId="2D101231">
            <w:pPr>
              <w:jc w:val="both"/>
              <w:rPr>
                <w:rFonts w:ascii="宋体" w:hAnsi="宋体" w:eastAsia="宋体" w:cs="宋体"/>
                <w:b/>
                <w:bCs/>
                <w:color w:val="000000"/>
                <w:sz w:val="24"/>
                <w:szCs w:val="24"/>
              </w:rPr>
            </w:pPr>
            <w:r>
              <w:rPr>
                <w:rFonts w:hint="eastAsia" w:ascii="宋体" w:hAnsi="宋体" w:eastAsia="宋体" w:cs="宋体"/>
                <w:color w:val="000000"/>
                <w:sz w:val="24"/>
                <w:szCs w:val="24"/>
              </w:rPr>
              <w:t>微波信号源</w:t>
            </w:r>
          </w:p>
        </w:tc>
        <w:tc>
          <w:tcPr>
            <w:tcW w:w="275" w:type="pct"/>
            <w:vAlign w:val="center"/>
          </w:tcPr>
          <w:p w14:paraId="5C96B173">
            <w:pPr>
              <w:jc w:val="both"/>
              <w:rPr>
                <w:rFonts w:ascii="宋体" w:hAnsi="宋体" w:eastAsia="宋体" w:cs="宋体"/>
                <w:b/>
                <w:bCs/>
                <w:color w:val="000000"/>
                <w:sz w:val="24"/>
                <w:szCs w:val="24"/>
              </w:rPr>
            </w:pPr>
            <w:r>
              <w:rPr>
                <w:rFonts w:hint="eastAsia" w:ascii="宋体" w:hAnsi="宋体" w:eastAsia="宋体" w:cs="宋体"/>
                <w:color w:val="000000"/>
                <w:sz w:val="24"/>
                <w:szCs w:val="24"/>
              </w:rPr>
              <w:t>套</w:t>
            </w:r>
          </w:p>
        </w:tc>
        <w:tc>
          <w:tcPr>
            <w:tcW w:w="244" w:type="pct"/>
            <w:vAlign w:val="center"/>
          </w:tcPr>
          <w:p w14:paraId="1C2265D7">
            <w:pPr>
              <w:jc w:val="both"/>
              <w:rPr>
                <w:rFonts w:ascii="宋体" w:hAnsi="宋体" w:eastAsia="宋体" w:cs="宋体"/>
                <w:b/>
                <w:bCs/>
                <w:color w:val="000000"/>
                <w:sz w:val="24"/>
                <w:szCs w:val="24"/>
              </w:rPr>
            </w:pPr>
            <w:r>
              <w:rPr>
                <w:rFonts w:hint="eastAsia" w:ascii="宋体" w:hAnsi="宋体" w:eastAsia="宋体" w:cs="宋体"/>
                <w:color w:val="000000"/>
                <w:sz w:val="24"/>
                <w:szCs w:val="24"/>
              </w:rPr>
              <w:t>2</w:t>
            </w:r>
          </w:p>
        </w:tc>
        <w:tc>
          <w:tcPr>
            <w:tcW w:w="255" w:type="pct"/>
            <w:vAlign w:val="center"/>
          </w:tcPr>
          <w:p w14:paraId="6EA9B382">
            <w:pPr>
              <w:jc w:val="both"/>
              <w:rPr>
                <w:rFonts w:ascii="宋体" w:hAnsi="宋体" w:eastAsia="宋体" w:cs="宋体"/>
                <w:b/>
                <w:bCs/>
                <w:color w:val="000000"/>
                <w:sz w:val="24"/>
                <w:szCs w:val="24"/>
              </w:rPr>
            </w:pPr>
            <w:r>
              <w:rPr>
                <w:rFonts w:hint="eastAsia" w:ascii="宋体" w:hAnsi="宋体" w:eastAsia="宋体" w:cs="宋体"/>
                <w:color w:val="000000"/>
                <w:sz w:val="24"/>
                <w:szCs w:val="24"/>
              </w:rPr>
              <w:t>否</w:t>
            </w:r>
          </w:p>
        </w:tc>
        <w:tc>
          <w:tcPr>
            <w:tcW w:w="3585" w:type="pct"/>
            <w:vAlign w:val="center"/>
          </w:tcPr>
          <w:p w14:paraId="7F586A39">
            <w:pPr>
              <w:jc w:val="both"/>
              <w:rPr>
                <w:rFonts w:ascii="宋体" w:hAnsi="宋体" w:eastAsia="宋体" w:cs="宋体"/>
                <w:color w:val="000000"/>
                <w:sz w:val="24"/>
                <w:szCs w:val="24"/>
              </w:rPr>
            </w:pPr>
            <w:r>
              <w:rPr>
                <w:rFonts w:hint="eastAsia" w:ascii="宋体" w:hAnsi="宋体" w:eastAsia="宋体" w:cs="宋体"/>
                <w:color w:val="000000"/>
                <w:sz w:val="24"/>
                <w:szCs w:val="24"/>
              </w:rPr>
              <w:t>▲1.频率：100 kHz–67GHz，分辨率≤0.001Hz；</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2.相位噪声：≤-135 dBc/Hz@1 GHz（10 kHz 频偏），≤-116 dBc/Hz@10 GHz（10 kHz 频偏）；</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3.输出功率：-110dBm～+16dBm@8KHz-50GHz， -110dBm～+12dBm@50GHz-67GHz， 功率分辨率≤0.01dB；</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4.电平精度：±0.7 dB@20 GHz；</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5.谐波抑制：≤-55 dBc@2GHz~20GHz；</w:t>
            </w:r>
          </w:p>
          <w:p w14:paraId="7DF01167">
            <w:pPr>
              <w:jc w:val="both"/>
              <w:rPr>
                <w:rFonts w:ascii="宋体" w:hAnsi="宋体" w:eastAsia="宋体" w:cs="宋体"/>
                <w:b/>
                <w:bCs/>
                <w:color w:val="000000"/>
                <w:sz w:val="24"/>
                <w:szCs w:val="24"/>
              </w:rPr>
            </w:pPr>
            <w:r>
              <w:rPr>
                <w:rFonts w:hint="eastAsia" w:ascii="宋体" w:hAnsi="宋体" w:eastAsia="宋体" w:cs="宋体"/>
                <w:color w:val="000000"/>
                <w:sz w:val="24"/>
                <w:szCs w:val="24"/>
              </w:rPr>
              <w:t>6.非谐波抑制：≤-75dBc@250MHz~10GHz；</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7.频率切换速度：≤20 ms；</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8.窄脉宽：≤50 ns；</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9.可用调制类型：AM、FM、PM、脉冲；</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10.具备LF内部调制源，可发出正弦波、方波、三角波、锯齿波、DC多种波形；</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11.具备功率计控制套件；</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12.支持远程控制设备；</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13.通信接口，包含USB、LAN。</w:t>
            </w:r>
          </w:p>
        </w:tc>
      </w:tr>
      <w:tr w14:paraId="0866B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288" w:type="pct"/>
            <w:vAlign w:val="center"/>
          </w:tcPr>
          <w:p w14:paraId="78316633">
            <w:pPr>
              <w:jc w:val="both"/>
              <w:rPr>
                <w:rFonts w:ascii="宋体" w:hAnsi="宋体" w:eastAsia="宋体" w:cs="宋体"/>
                <w:b/>
                <w:bCs/>
                <w:color w:val="000000"/>
                <w:sz w:val="24"/>
                <w:szCs w:val="24"/>
              </w:rPr>
            </w:pPr>
            <w:r>
              <w:rPr>
                <w:rFonts w:hint="eastAsia" w:ascii="宋体" w:hAnsi="宋体" w:eastAsia="宋体" w:cs="宋体"/>
                <w:b/>
                <w:bCs/>
                <w:color w:val="000000"/>
                <w:sz w:val="24"/>
                <w:szCs w:val="24"/>
              </w:rPr>
              <w:t>5</w:t>
            </w:r>
          </w:p>
        </w:tc>
        <w:tc>
          <w:tcPr>
            <w:tcW w:w="350" w:type="pct"/>
            <w:vAlign w:val="center"/>
          </w:tcPr>
          <w:p w14:paraId="1A2A9A28">
            <w:pPr>
              <w:jc w:val="both"/>
              <w:rPr>
                <w:rFonts w:ascii="宋体" w:hAnsi="宋体" w:eastAsia="宋体" w:cs="宋体"/>
                <w:b/>
                <w:bCs/>
                <w:color w:val="000000"/>
                <w:sz w:val="24"/>
                <w:szCs w:val="24"/>
              </w:rPr>
            </w:pPr>
            <w:r>
              <w:rPr>
                <w:rFonts w:hint="eastAsia" w:ascii="宋体" w:hAnsi="宋体" w:eastAsia="宋体" w:cs="宋体"/>
                <w:color w:val="000000"/>
                <w:sz w:val="24"/>
                <w:szCs w:val="24"/>
              </w:rPr>
              <w:t>划片机</w:t>
            </w:r>
          </w:p>
        </w:tc>
        <w:tc>
          <w:tcPr>
            <w:tcW w:w="275" w:type="pct"/>
            <w:vAlign w:val="center"/>
          </w:tcPr>
          <w:p w14:paraId="6F68AC19">
            <w:pPr>
              <w:jc w:val="both"/>
              <w:rPr>
                <w:rFonts w:ascii="宋体" w:hAnsi="宋体" w:eastAsia="宋体" w:cs="宋体"/>
                <w:b/>
                <w:bCs/>
                <w:color w:val="000000"/>
                <w:sz w:val="24"/>
                <w:szCs w:val="24"/>
              </w:rPr>
            </w:pPr>
            <w:r>
              <w:rPr>
                <w:rFonts w:hint="eastAsia" w:ascii="宋体" w:hAnsi="宋体" w:eastAsia="宋体" w:cs="宋体"/>
                <w:color w:val="000000"/>
                <w:sz w:val="24"/>
                <w:szCs w:val="24"/>
              </w:rPr>
              <w:t>套</w:t>
            </w:r>
          </w:p>
        </w:tc>
        <w:tc>
          <w:tcPr>
            <w:tcW w:w="244" w:type="pct"/>
            <w:vAlign w:val="center"/>
          </w:tcPr>
          <w:p w14:paraId="1D9F246F">
            <w:pPr>
              <w:jc w:val="both"/>
              <w:rPr>
                <w:rFonts w:ascii="宋体" w:hAnsi="宋体" w:eastAsia="宋体" w:cs="宋体"/>
                <w:b/>
                <w:bCs/>
                <w:color w:val="000000"/>
                <w:sz w:val="24"/>
                <w:szCs w:val="24"/>
              </w:rPr>
            </w:pPr>
            <w:r>
              <w:rPr>
                <w:rFonts w:hint="eastAsia" w:ascii="宋体" w:hAnsi="宋体" w:eastAsia="宋体" w:cs="宋体"/>
                <w:color w:val="000000"/>
                <w:sz w:val="24"/>
                <w:szCs w:val="24"/>
              </w:rPr>
              <w:t>1</w:t>
            </w:r>
          </w:p>
        </w:tc>
        <w:tc>
          <w:tcPr>
            <w:tcW w:w="255" w:type="pct"/>
            <w:vAlign w:val="center"/>
          </w:tcPr>
          <w:p w14:paraId="7D4578C8">
            <w:pPr>
              <w:jc w:val="both"/>
              <w:rPr>
                <w:rFonts w:ascii="宋体" w:hAnsi="宋体" w:eastAsia="宋体" w:cs="宋体"/>
                <w:b/>
                <w:bCs/>
                <w:color w:val="000000"/>
                <w:sz w:val="24"/>
                <w:szCs w:val="24"/>
              </w:rPr>
            </w:pPr>
            <w:r>
              <w:rPr>
                <w:rFonts w:hint="eastAsia" w:ascii="宋体" w:hAnsi="宋体" w:eastAsia="宋体" w:cs="宋体"/>
                <w:color w:val="000000"/>
                <w:sz w:val="24"/>
                <w:szCs w:val="24"/>
              </w:rPr>
              <w:t>否</w:t>
            </w:r>
          </w:p>
        </w:tc>
        <w:tc>
          <w:tcPr>
            <w:tcW w:w="3585" w:type="pct"/>
            <w:vAlign w:val="center"/>
          </w:tcPr>
          <w:p w14:paraId="6D379547">
            <w:pPr>
              <w:jc w:val="both"/>
              <w:rPr>
                <w:rFonts w:ascii="宋体" w:hAnsi="宋体" w:eastAsia="宋体" w:cs="宋体"/>
                <w:b/>
                <w:bCs/>
                <w:color w:val="000000"/>
                <w:sz w:val="24"/>
                <w:szCs w:val="24"/>
              </w:rPr>
            </w:pPr>
            <w:r>
              <w:rPr>
                <w:rFonts w:hint="eastAsia" w:ascii="宋体" w:hAnsi="宋体" w:eastAsia="宋体" w:cs="宋体"/>
                <w:color w:val="000000"/>
                <w:sz w:val="24"/>
                <w:szCs w:val="24"/>
              </w:rPr>
              <w:t>1、基本参数：</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1.1 加工工件尺寸：Φ6英寸及以下；</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1.2 最大划切深度：≥5mm；</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1.3 刀口宽度：刀厚+10μm（切深小于1mm时）；</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2、主轴</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2.1 悬臂式空气静压电主轴；</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▲2.2 转速范围：3000~60000rpm；</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3、X 轴</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3.1 行程：≥240mm；</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3.2 速度设定范围：0.1~500mm/s；</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4、Y 轴</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4.1 有效行程：≥165mm；</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4.2 分辨率：≤0.0001mm；</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4.3 定位精度：≤0.002mm；</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5、Z 轴</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5.1 有效行程：≥30mm；</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5.2 定位精度：≤0.001mm；</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6、θ轴</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6.1 转角范围：0~320°；</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6.2 分辨率：≤0.0002°；</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6.3 定位精度：±1”；</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7、图像</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7.1 组成：工业相机+高清镜头；</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7.2 光源：同轴光+环光；</w:t>
            </w:r>
            <w:r>
              <w:rPr>
                <w:rFonts w:hint="eastAsia" w:ascii="宋体" w:hAnsi="宋体" w:eastAsia="宋体" w:cs="宋体"/>
                <w:color w:val="000000"/>
                <w:sz w:val="24"/>
                <w:szCs w:val="24"/>
              </w:rPr>
              <w:br w:type="textWrapping"/>
            </w:r>
            <w:r>
              <w:rPr>
                <w:rFonts w:hint="eastAsia" w:ascii="宋体" w:hAnsi="宋体" w:eastAsia="宋体" w:cs="宋体"/>
                <w:color w:val="000000"/>
                <w:sz w:val="24"/>
                <w:szCs w:val="24"/>
              </w:rPr>
              <w:t>8、操作系统，具有液晶触摸屏。</w:t>
            </w:r>
          </w:p>
        </w:tc>
      </w:tr>
      <w:tr w14:paraId="1A284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288" w:type="pct"/>
            <w:vAlign w:val="center"/>
          </w:tcPr>
          <w:p w14:paraId="66CBDCF9">
            <w:pPr>
              <w:jc w:val="both"/>
              <w:rPr>
                <w:rFonts w:ascii="宋体" w:hAnsi="宋体" w:eastAsia="宋体" w:cs="宋体"/>
                <w:b/>
                <w:bCs/>
                <w:color w:val="000000"/>
                <w:sz w:val="24"/>
                <w:szCs w:val="24"/>
              </w:rPr>
            </w:pPr>
            <w:r>
              <w:rPr>
                <w:rFonts w:hint="eastAsia" w:ascii="宋体" w:hAnsi="宋体" w:eastAsia="宋体" w:cs="宋体"/>
                <w:b/>
                <w:bCs/>
                <w:color w:val="000000"/>
                <w:sz w:val="24"/>
                <w:szCs w:val="24"/>
              </w:rPr>
              <w:t>6</w:t>
            </w:r>
          </w:p>
        </w:tc>
        <w:tc>
          <w:tcPr>
            <w:tcW w:w="350" w:type="pct"/>
            <w:vAlign w:val="center"/>
          </w:tcPr>
          <w:p w14:paraId="35E91F83">
            <w:pPr>
              <w:jc w:val="both"/>
              <w:rPr>
                <w:rFonts w:ascii="宋体" w:hAnsi="宋体" w:eastAsia="宋体" w:cs="宋体"/>
                <w:b/>
                <w:bCs/>
                <w:color w:val="000000"/>
                <w:sz w:val="24"/>
                <w:szCs w:val="24"/>
              </w:rPr>
            </w:pPr>
            <w:r>
              <w:rPr>
                <w:rFonts w:hint="eastAsia" w:ascii="宋体" w:hAnsi="宋体" w:eastAsia="宋体" w:cs="宋体"/>
                <w:color w:val="000000"/>
                <w:sz w:val="24"/>
                <w:szCs w:val="24"/>
              </w:rPr>
              <w:t>邦定机</w:t>
            </w:r>
          </w:p>
        </w:tc>
        <w:tc>
          <w:tcPr>
            <w:tcW w:w="275" w:type="pct"/>
            <w:vAlign w:val="center"/>
          </w:tcPr>
          <w:p w14:paraId="4B6AC360">
            <w:pPr>
              <w:jc w:val="both"/>
              <w:rPr>
                <w:rFonts w:ascii="宋体" w:hAnsi="宋体" w:eastAsia="宋体" w:cs="宋体"/>
                <w:b/>
                <w:bCs/>
                <w:color w:val="000000"/>
                <w:sz w:val="24"/>
                <w:szCs w:val="24"/>
              </w:rPr>
            </w:pPr>
            <w:r>
              <w:rPr>
                <w:rFonts w:hint="eastAsia" w:ascii="宋体" w:hAnsi="宋体" w:eastAsia="宋体" w:cs="宋体"/>
                <w:color w:val="000000"/>
                <w:sz w:val="24"/>
                <w:szCs w:val="24"/>
              </w:rPr>
              <w:t>套</w:t>
            </w:r>
          </w:p>
        </w:tc>
        <w:tc>
          <w:tcPr>
            <w:tcW w:w="244" w:type="pct"/>
            <w:vAlign w:val="center"/>
          </w:tcPr>
          <w:p w14:paraId="59D60B19">
            <w:pPr>
              <w:jc w:val="both"/>
              <w:rPr>
                <w:rFonts w:ascii="宋体" w:hAnsi="宋体" w:eastAsia="宋体" w:cs="宋体"/>
                <w:b/>
                <w:bCs/>
                <w:color w:val="000000"/>
                <w:sz w:val="24"/>
                <w:szCs w:val="24"/>
              </w:rPr>
            </w:pPr>
            <w:r>
              <w:rPr>
                <w:rFonts w:hint="eastAsia" w:ascii="宋体" w:hAnsi="宋体" w:eastAsia="宋体" w:cs="宋体"/>
                <w:color w:val="000000"/>
                <w:sz w:val="24"/>
                <w:szCs w:val="24"/>
              </w:rPr>
              <w:t>1</w:t>
            </w:r>
          </w:p>
        </w:tc>
        <w:tc>
          <w:tcPr>
            <w:tcW w:w="255" w:type="pct"/>
            <w:vAlign w:val="center"/>
          </w:tcPr>
          <w:p w14:paraId="03749407">
            <w:pPr>
              <w:jc w:val="both"/>
              <w:rPr>
                <w:rFonts w:ascii="宋体" w:hAnsi="宋体" w:eastAsia="宋体" w:cs="宋体"/>
                <w:b/>
                <w:bCs/>
                <w:color w:val="000000"/>
                <w:sz w:val="24"/>
                <w:szCs w:val="24"/>
              </w:rPr>
            </w:pPr>
            <w:r>
              <w:rPr>
                <w:rFonts w:hint="eastAsia" w:ascii="宋体" w:hAnsi="宋体" w:eastAsia="宋体" w:cs="宋体"/>
                <w:color w:val="000000"/>
                <w:sz w:val="24"/>
                <w:szCs w:val="24"/>
              </w:rPr>
              <w:t>否</w:t>
            </w:r>
          </w:p>
        </w:tc>
        <w:tc>
          <w:tcPr>
            <w:tcW w:w="3585" w:type="pct"/>
            <w:vAlign w:val="center"/>
          </w:tcPr>
          <w:p w14:paraId="2A5F9122">
            <w:pPr>
              <w:jc w:val="both"/>
              <w:rPr>
                <w:rFonts w:ascii="宋体" w:hAnsi="宋体" w:eastAsia="宋体" w:cs="宋体"/>
                <w:sz w:val="24"/>
                <w:szCs w:val="24"/>
              </w:rPr>
            </w:pPr>
            <w:r>
              <w:rPr>
                <w:rFonts w:hint="eastAsia" w:ascii="宋体" w:hAnsi="宋体" w:eastAsia="宋体" w:cs="宋体"/>
                <w:sz w:val="24"/>
                <w:szCs w:val="24"/>
              </w:rPr>
              <w:t>1.金丝：15~75µm；铝丝：18~100 µm；金带：50 µm×12.5 µm-100µm×25.4 µm； 铂金线 18~25 µm，银线 18~50 µm；</w:t>
            </w:r>
            <w:r>
              <w:rPr>
                <w:rFonts w:hint="eastAsia" w:ascii="宋体" w:hAnsi="宋体" w:eastAsia="宋体" w:cs="宋体"/>
                <w:sz w:val="24"/>
                <w:szCs w:val="24"/>
              </w:rPr>
              <w:br w:type="textWrapping"/>
            </w:r>
            <w:r>
              <w:rPr>
                <w:rFonts w:hint="eastAsia" w:ascii="宋体" w:hAnsi="宋体" w:eastAsia="宋体" w:cs="宋体"/>
                <w:sz w:val="24"/>
                <w:szCs w:val="24"/>
              </w:rPr>
              <w:t>2.具有球焊和楔焊的键合工艺；</w:t>
            </w:r>
            <w:r>
              <w:rPr>
                <w:rFonts w:hint="eastAsia" w:ascii="宋体" w:hAnsi="宋体" w:eastAsia="宋体" w:cs="宋体"/>
                <w:sz w:val="24"/>
                <w:szCs w:val="24"/>
              </w:rPr>
              <w:br w:type="textWrapping"/>
            </w:r>
            <w:r>
              <w:rPr>
                <w:rFonts w:hint="eastAsia" w:ascii="宋体" w:hAnsi="宋体" w:eastAsia="宋体" w:cs="宋体"/>
                <w:sz w:val="24"/>
                <w:szCs w:val="24"/>
              </w:rPr>
              <w:t>3.键合头Z向行程：</w:t>
            </w:r>
            <w:r>
              <w:rPr>
                <w:rFonts w:hint="eastAsia" w:ascii="宋体" w:hAnsi="宋体" w:eastAsia="宋体" w:cs="宋体"/>
                <w:color w:val="000000"/>
                <w:sz w:val="24"/>
                <w:szCs w:val="24"/>
              </w:rPr>
              <w:t>≥</w:t>
            </w:r>
            <w:r>
              <w:rPr>
                <w:rFonts w:hint="eastAsia" w:ascii="宋体" w:hAnsi="宋体" w:eastAsia="宋体" w:cs="宋体"/>
                <w:sz w:val="24"/>
                <w:szCs w:val="24"/>
              </w:rPr>
              <w:t>18 mm，X-Y 范围：15mm×15mm；</w:t>
            </w:r>
            <w:r>
              <w:rPr>
                <w:rFonts w:hint="eastAsia" w:ascii="宋体" w:hAnsi="宋体" w:eastAsia="宋体" w:cs="宋体"/>
                <w:sz w:val="24"/>
                <w:szCs w:val="24"/>
              </w:rPr>
              <w:br w:type="textWrapping"/>
            </w:r>
            <w:r>
              <w:rPr>
                <w:rFonts w:hint="eastAsia" w:ascii="宋体" w:hAnsi="宋体" w:eastAsia="宋体" w:cs="宋体"/>
                <w:sz w:val="24"/>
                <w:szCs w:val="24"/>
              </w:rPr>
              <w:t>4.升降台Z向行程：</w:t>
            </w:r>
            <w:r>
              <w:rPr>
                <w:rFonts w:hint="eastAsia" w:ascii="宋体" w:hAnsi="宋体" w:eastAsia="宋体" w:cs="宋体"/>
                <w:color w:val="000000"/>
                <w:sz w:val="24"/>
                <w:szCs w:val="24"/>
              </w:rPr>
              <w:t>≥</w:t>
            </w:r>
            <w:r>
              <w:rPr>
                <w:rFonts w:hint="eastAsia" w:ascii="宋体" w:hAnsi="宋体" w:eastAsia="宋体" w:cs="宋体"/>
                <w:sz w:val="24"/>
                <w:szCs w:val="24"/>
              </w:rPr>
              <w:t>18mm，X-Y 范围：250mm×270mm；</w:t>
            </w:r>
            <w:r>
              <w:rPr>
                <w:rFonts w:hint="eastAsia" w:ascii="宋体" w:hAnsi="宋体" w:eastAsia="宋体" w:cs="宋体"/>
                <w:sz w:val="24"/>
                <w:szCs w:val="24"/>
              </w:rPr>
              <w:br w:type="textWrapping"/>
            </w:r>
            <w:r>
              <w:rPr>
                <w:rFonts w:hint="eastAsia" w:ascii="宋体" w:hAnsi="宋体" w:eastAsia="宋体" w:cs="宋体"/>
                <w:sz w:val="24"/>
                <w:szCs w:val="24"/>
              </w:rPr>
              <w:t>5.数值化控制，1000倍细分；</w:t>
            </w:r>
            <w:r>
              <w:rPr>
                <w:rFonts w:hint="eastAsia" w:ascii="宋体" w:hAnsi="宋体" w:eastAsia="宋体" w:cs="宋体"/>
                <w:sz w:val="24"/>
                <w:szCs w:val="24"/>
              </w:rPr>
              <w:br w:type="textWrapping"/>
            </w:r>
            <w:r>
              <w:rPr>
                <w:rFonts w:hint="eastAsia" w:ascii="宋体" w:hAnsi="宋体" w:eastAsia="宋体" w:cs="宋体"/>
                <w:sz w:val="24"/>
                <w:szCs w:val="24"/>
              </w:rPr>
              <w:t>6.整机具有 ESD 防护功能；</w:t>
            </w:r>
            <w:r>
              <w:rPr>
                <w:rFonts w:hint="eastAsia" w:ascii="宋体" w:hAnsi="宋体" w:eastAsia="宋体" w:cs="宋体"/>
                <w:sz w:val="24"/>
                <w:szCs w:val="24"/>
              </w:rPr>
              <w:br w:type="textWrapping"/>
            </w:r>
            <w:r>
              <w:rPr>
                <w:rFonts w:hint="eastAsia" w:ascii="宋体" w:hAnsi="宋体" w:eastAsia="宋体" w:cs="宋体"/>
                <w:sz w:val="24"/>
                <w:szCs w:val="24"/>
              </w:rPr>
              <w:t>7.可单手操作；</w:t>
            </w:r>
            <w:r>
              <w:rPr>
                <w:rFonts w:hint="eastAsia" w:ascii="宋体" w:hAnsi="宋体" w:eastAsia="宋体" w:cs="宋体"/>
                <w:sz w:val="24"/>
                <w:szCs w:val="24"/>
              </w:rPr>
              <w:br w:type="textWrapping"/>
            </w:r>
            <w:r>
              <w:rPr>
                <w:rFonts w:hint="eastAsia" w:ascii="宋体" w:hAnsi="宋体" w:eastAsia="宋体" w:cs="宋体"/>
                <w:sz w:val="24"/>
                <w:szCs w:val="24"/>
              </w:rPr>
              <w:t>8.配置体视显微镜一套，变倍比0.8-4X，连续变焦，目镜放大倍数15倍；</w:t>
            </w:r>
            <w:r>
              <w:rPr>
                <w:rFonts w:hint="eastAsia" w:ascii="宋体" w:hAnsi="宋体" w:eastAsia="宋体" w:cs="宋体"/>
                <w:sz w:val="24"/>
                <w:szCs w:val="24"/>
              </w:rPr>
              <w:br w:type="textWrapping"/>
            </w:r>
            <w:r>
              <w:rPr>
                <w:rFonts w:hint="eastAsia" w:ascii="宋体" w:hAnsi="宋体" w:eastAsia="宋体" w:cs="宋体"/>
                <w:sz w:val="24"/>
                <w:szCs w:val="24"/>
              </w:rPr>
              <w:t>9.具有键合力、超声能量、时间实时控制功能；</w:t>
            </w:r>
            <w:r>
              <w:rPr>
                <w:rFonts w:hint="eastAsia" w:ascii="宋体" w:hAnsi="宋体" w:eastAsia="宋体" w:cs="宋体"/>
                <w:sz w:val="24"/>
                <w:szCs w:val="24"/>
              </w:rPr>
              <w:br w:type="textWrapping"/>
            </w:r>
            <w:r>
              <w:rPr>
                <w:rFonts w:hint="eastAsia" w:ascii="宋体" w:hAnsi="宋体" w:eastAsia="宋体" w:cs="宋体"/>
                <w:sz w:val="24"/>
                <w:szCs w:val="24"/>
              </w:rPr>
              <w:t>10.具有DSP 锁相功能；</w:t>
            </w:r>
            <w:r>
              <w:rPr>
                <w:rFonts w:hint="eastAsia" w:ascii="宋体" w:hAnsi="宋体" w:eastAsia="宋体" w:cs="宋体"/>
                <w:sz w:val="24"/>
                <w:szCs w:val="24"/>
              </w:rPr>
              <w:br w:type="textWrapping"/>
            </w:r>
            <w:r>
              <w:rPr>
                <w:rFonts w:hint="eastAsia" w:ascii="宋体" w:hAnsi="宋体" w:eastAsia="宋体" w:cs="宋体"/>
                <w:sz w:val="24"/>
                <w:szCs w:val="24"/>
              </w:rPr>
              <w:t>▲11.采用电机压力闭合控制，压力范围1-250g，分辨率1g，在线可编程；</w:t>
            </w:r>
            <w:r>
              <w:rPr>
                <w:rFonts w:hint="eastAsia" w:ascii="宋体" w:hAnsi="宋体" w:eastAsia="宋体" w:cs="宋体"/>
                <w:sz w:val="24"/>
                <w:szCs w:val="24"/>
              </w:rPr>
              <w:br w:type="textWrapping"/>
            </w:r>
            <w:r>
              <w:rPr>
                <w:rFonts w:hint="eastAsia" w:ascii="宋体" w:hAnsi="宋体" w:eastAsia="宋体" w:cs="宋体"/>
                <w:sz w:val="24"/>
                <w:szCs w:val="24"/>
              </w:rPr>
              <w:t>12.具有键合手柄锁紧功能；</w:t>
            </w:r>
            <w:r>
              <w:rPr>
                <w:rFonts w:hint="eastAsia" w:ascii="宋体" w:hAnsi="宋体" w:eastAsia="宋体" w:cs="宋体"/>
                <w:sz w:val="24"/>
                <w:szCs w:val="24"/>
              </w:rPr>
              <w:br w:type="textWrapping"/>
            </w:r>
            <w:r>
              <w:rPr>
                <w:rFonts w:hint="eastAsia" w:ascii="宋体" w:hAnsi="宋体" w:eastAsia="宋体" w:cs="宋体"/>
                <w:sz w:val="24"/>
                <w:szCs w:val="24"/>
              </w:rPr>
              <w:t>13.一二焊点参数可以独立设置；</w:t>
            </w:r>
            <w:r>
              <w:rPr>
                <w:rFonts w:hint="eastAsia" w:ascii="宋体" w:hAnsi="宋体" w:eastAsia="宋体" w:cs="宋体"/>
                <w:sz w:val="24"/>
                <w:szCs w:val="24"/>
              </w:rPr>
              <w:br w:type="textWrapping"/>
            </w:r>
            <w:r>
              <w:rPr>
                <w:rFonts w:hint="eastAsia" w:ascii="宋体" w:hAnsi="宋体" w:eastAsia="宋体" w:cs="宋体"/>
                <w:sz w:val="24"/>
                <w:szCs w:val="24"/>
              </w:rPr>
              <w:t>14.可调节线夹，一个线夹能同时具备容兼 18µm和75µm 键合金丝；</w:t>
            </w:r>
            <w:r>
              <w:rPr>
                <w:rFonts w:hint="eastAsia" w:ascii="宋体" w:hAnsi="宋体" w:eastAsia="宋体" w:cs="宋体"/>
                <w:sz w:val="24"/>
                <w:szCs w:val="24"/>
              </w:rPr>
              <w:br w:type="textWrapping"/>
            </w:r>
            <w:r>
              <w:rPr>
                <w:rFonts w:hint="eastAsia" w:ascii="宋体" w:hAnsi="宋体" w:eastAsia="宋体" w:cs="宋体"/>
                <w:sz w:val="24"/>
                <w:szCs w:val="24"/>
              </w:rPr>
              <w:t>15.线轴尺寸：1/2英寸；</w:t>
            </w:r>
            <w:r>
              <w:rPr>
                <w:rFonts w:hint="eastAsia" w:ascii="宋体" w:hAnsi="宋体" w:eastAsia="宋体" w:cs="宋体"/>
                <w:sz w:val="24"/>
                <w:szCs w:val="24"/>
              </w:rPr>
              <w:br w:type="textWrapping"/>
            </w:r>
            <w:r>
              <w:rPr>
                <w:rFonts w:hint="eastAsia" w:ascii="宋体" w:hAnsi="宋体" w:eastAsia="宋体" w:cs="宋体"/>
                <w:sz w:val="24"/>
                <w:szCs w:val="24"/>
              </w:rPr>
              <w:t>16.热台温度：室温~200℃；</w:t>
            </w:r>
            <w:r>
              <w:rPr>
                <w:rFonts w:hint="eastAsia" w:ascii="宋体" w:hAnsi="宋体" w:eastAsia="宋体" w:cs="宋体"/>
                <w:sz w:val="24"/>
                <w:szCs w:val="24"/>
              </w:rPr>
              <w:br w:type="textWrapping"/>
            </w:r>
            <w:r>
              <w:rPr>
                <w:rFonts w:hint="eastAsia" w:ascii="宋体" w:hAnsi="宋体" w:eastAsia="宋体" w:cs="宋体"/>
                <w:sz w:val="24"/>
                <w:szCs w:val="24"/>
              </w:rPr>
              <w:t>17.具有触摸屏；</w:t>
            </w:r>
            <w:r>
              <w:rPr>
                <w:rFonts w:hint="eastAsia" w:ascii="宋体" w:hAnsi="宋体" w:eastAsia="宋体" w:cs="宋体"/>
                <w:sz w:val="24"/>
                <w:szCs w:val="24"/>
              </w:rPr>
              <w:br w:type="textWrapping"/>
            </w:r>
            <w:r>
              <w:rPr>
                <w:rFonts w:hint="eastAsia" w:ascii="宋体" w:hAnsi="宋体" w:eastAsia="宋体" w:cs="宋体"/>
                <w:sz w:val="24"/>
                <w:szCs w:val="24"/>
              </w:rPr>
              <w:t>18.腔深范围：球焊≥12mm、楔焊≥21mm；</w:t>
            </w:r>
            <w:r>
              <w:rPr>
                <w:rFonts w:hint="eastAsia" w:ascii="宋体" w:hAnsi="宋体" w:eastAsia="宋体" w:cs="宋体"/>
                <w:sz w:val="24"/>
                <w:szCs w:val="24"/>
              </w:rPr>
              <w:br w:type="textWrapping"/>
            </w:r>
            <w:r>
              <w:rPr>
                <w:rFonts w:hint="eastAsia" w:ascii="宋体" w:hAnsi="宋体" w:eastAsia="宋体" w:cs="宋体"/>
                <w:sz w:val="24"/>
                <w:szCs w:val="24"/>
              </w:rPr>
              <w:t>19.配16mm球焊劈刀；19mm，25mm楔焊劈刀；</w:t>
            </w:r>
          </w:p>
          <w:p w14:paraId="2F4F8EDC">
            <w:pPr>
              <w:jc w:val="both"/>
              <w:rPr>
                <w:rFonts w:ascii="宋体" w:hAnsi="宋体" w:eastAsia="宋体" w:cs="宋体"/>
                <w:sz w:val="24"/>
                <w:szCs w:val="24"/>
              </w:rPr>
            </w:pPr>
            <w:r>
              <w:rPr>
                <w:rFonts w:hint="eastAsia" w:ascii="宋体" w:hAnsi="宋体" w:eastAsia="宋体" w:cs="宋体"/>
                <w:sz w:val="24"/>
                <w:szCs w:val="24"/>
              </w:rPr>
              <w:t>20.标准配置：1/2英寸线轴，LED照明灯，体视显微镜，夹持台。</w:t>
            </w:r>
          </w:p>
        </w:tc>
      </w:tr>
    </w:tbl>
    <w:p w14:paraId="16788B2F">
      <w:pPr>
        <w:spacing w:line="360" w:lineRule="auto"/>
        <w:rPr>
          <w:color w:val="FF0000"/>
        </w:rPr>
      </w:pPr>
    </w:p>
    <w:sectPr>
      <w:headerReference r:id="rId3" w:type="default"/>
      <w:footerReference r:id="rId4" w:type="default"/>
      <w:footerReference r:id="rId5" w:type="even"/>
      <w:pgSz w:w="16838" w:h="11906" w:orient="landscape"/>
      <w:pgMar w:top="1389" w:right="1701" w:bottom="1361" w:left="1701"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CA996">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CEA4E1">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2ECEA4E1">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12</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C1359">
    <w:pPr>
      <w:pStyle w:val="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73759D">
                          <w:pPr>
                            <w:pStyle w:val="6"/>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F73759D">
                    <w:pPr>
                      <w:pStyle w:val="6"/>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12</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749AC">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DE318D"/>
    <w:multiLevelType w:val="singleLevel"/>
    <w:tmpl w:val="8CDE318D"/>
    <w:lvl w:ilvl="0" w:tentative="0">
      <w:start w:val="1"/>
      <w:numFmt w:val="chineseCounting"/>
      <w:suff w:val="nothing"/>
      <w:lvlText w:val="%1、"/>
      <w:lvlJc w:val="left"/>
      <w:rPr>
        <w:rFonts w:hint="eastAsia"/>
      </w:rPr>
    </w:lvl>
  </w:abstractNum>
  <w:abstractNum w:abstractNumId="1">
    <w:nsid w:val="D84DD2FF"/>
    <w:multiLevelType w:val="singleLevel"/>
    <w:tmpl w:val="D84DD2FF"/>
    <w:lvl w:ilvl="0" w:tentative="0">
      <w:start w:val="6"/>
      <w:numFmt w:val="decimal"/>
      <w:suff w:val="nothing"/>
      <w:lvlText w:val="%1、"/>
      <w:lvlJc w:val="left"/>
    </w:lvl>
  </w:abstractNum>
  <w:abstractNum w:abstractNumId="2">
    <w:nsid w:val="0E4ABD60"/>
    <w:multiLevelType w:val="singleLevel"/>
    <w:tmpl w:val="0E4ABD60"/>
    <w:lvl w:ilvl="0" w:tentative="0">
      <w:start w:val="1"/>
      <w:numFmt w:val="chineseCounting"/>
      <w:suff w:val="nothing"/>
      <w:lvlText w:val="%1、"/>
      <w:lvlJc w:val="left"/>
      <w:rPr>
        <w:rFonts w:hint="eastAsia"/>
      </w:rPr>
    </w:lvl>
  </w:abstractNum>
  <w:abstractNum w:abstractNumId="3">
    <w:nsid w:val="1C49ECB2"/>
    <w:multiLevelType w:val="singleLevel"/>
    <w:tmpl w:val="1C49ECB2"/>
    <w:lvl w:ilvl="0" w:tentative="0">
      <w:start w:val="1"/>
      <w:numFmt w:val="chineseCounting"/>
      <w:suff w:val="nothing"/>
      <w:lvlText w:val="%1、"/>
      <w:lvlJc w:val="left"/>
      <w:rPr>
        <w:rFonts w:hint="eastAsia"/>
      </w:rPr>
    </w:lvl>
  </w:abstractNum>
  <w:abstractNum w:abstractNumId="4">
    <w:nsid w:val="54515382"/>
    <w:multiLevelType w:val="singleLevel"/>
    <w:tmpl w:val="54515382"/>
    <w:lvl w:ilvl="0" w:tentative="0">
      <w:start w:val="1"/>
      <w:numFmt w:val="decimal"/>
      <w:suff w:val="nothing"/>
      <w:lvlText w:val="%1、"/>
      <w:lvlJc w:val="left"/>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cxODRkZTkzMzcxYzlkZTlhODQ0YTE1M2I5NzViNTYifQ=="/>
  </w:docVars>
  <w:rsids>
    <w:rsidRoot w:val="0030106B"/>
    <w:rsid w:val="00000698"/>
    <w:rsid w:val="000011A5"/>
    <w:rsid w:val="00010BF1"/>
    <w:rsid w:val="00023BDD"/>
    <w:rsid w:val="00024D0A"/>
    <w:rsid w:val="00030CB2"/>
    <w:rsid w:val="00035188"/>
    <w:rsid w:val="0004030A"/>
    <w:rsid w:val="00041346"/>
    <w:rsid w:val="00053AFD"/>
    <w:rsid w:val="00057C84"/>
    <w:rsid w:val="00074B50"/>
    <w:rsid w:val="00082A58"/>
    <w:rsid w:val="00091335"/>
    <w:rsid w:val="000B39FD"/>
    <w:rsid w:val="000B42FA"/>
    <w:rsid w:val="000B5AE0"/>
    <w:rsid w:val="000B6345"/>
    <w:rsid w:val="000B63B4"/>
    <w:rsid w:val="000B7901"/>
    <w:rsid w:val="000C000F"/>
    <w:rsid w:val="000C39BB"/>
    <w:rsid w:val="000D0EB2"/>
    <w:rsid w:val="000D4ADE"/>
    <w:rsid w:val="000E5582"/>
    <w:rsid w:val="0010654E"/>
    <w:rsid w:val="001139C2"/>
    <w:rsid w:val="00115C13"/>
    <w:rsid w:val="0012051F"/>
    <w:rsid w:val="00121ED2"/>
    <w:rsid w:val="001327F4"/>
    <w:rsid w:val="00137A95"/>
    <w:rsid w:val="001431C5"/>
    <w:rsid w:val="001558BB"/>
    <w:rsid w:val="00157EAE"/>
    <w:rsid w:val="00161377"/>
    <w:rsid w:val="001640FF"/>
    <w:rsid w:val="0018274C"/>
    <w:rsid w:val="00185DB9"/>
    <w:rsid w:val="001A356B"/>
    <w:rsid w:val="001A75DA"/>
    <w:rsid w:val="001B3C20"/>
    <w:rsid w:val="001B446C"/>
    <w:rsid w:val="001B75A4"/>
    <w:rsid w:val="001C6A57"/>
    <w:rsid w:val="001D4B6A"/>
    <w:rsid w:val="001D7AA6"/>
    <w:rsid w:val="001F28D0"/>
    <w:rsid w:val="00204073"/>
    <w:rsid w:val="0020584D"/>
    <w:rsid w:val="00206E9A"/>
    <w:rsid w:val="002171BF"/>
    <w:rsid w:val="00227709"/>
    <w:rsid w:val="0023368B"/>
    <w:rsid w:val="00234448"/>
    <w:rsid w:val="00245D1C"/>
    <w:rsid w:val="002474B6"/>
    <w:rsid w:val="00256960"/>
    <w:rsid w:val="00280711"/>
    <w:rsid w:val="00281884"/>
    <w:rsid w:val="00290B88"/>
    <w:rsid w:val="00294097"/>
    <w:rsid w:val="0029418C"/>
    <w:rsid w:val="002943CB"/>
    <w:rsid w:val="00295ECF"/>
    <w:rsid w:val="002A0169"/>
    <w:rsid w:val="002A0F48"/>
    <w:rsid w:val="002A2CD7"/>
    <w:rsid w:val="002A51E4"/>
    <w:rsid w:val="002A5A75"/>
    <w:rsid w:val="002A5DBC"/>
    <w:rsid w:val="002A65D9"/>
    <w:rsid w:val="002B2AAE"/>
    <w:rsid w:val="002C1253"/>
    <w:rsid w:val="002D08D1"/>
    <w:rsid w:val="002D15BB"/>
    <w:rsid w:val="002E1703"/>
    <w:rsid w:val="0030106B"/>
    <w:rsid w:val="00303D8C"/>
    <w:rsid w:val="0030567C"/>
    <w:rsid w:val="00311A58"/>
    <w:rsid w:val="00313BCD"/>
    <w:rsid w:val="00321509"/>
    <w:rsid w:val="003233D3"/>
    <w:rsid w:val="00332B69"/>
    <w:rsid w:val="003336D7"/>
    <w:rsid w:val="0033419E"/>
    <w:rsid w:val="00341B76"/>
    <w:rsid w:val="00341D2E"/>
    <w:rsid w:val="00346900"/>
    <w:rsid w:val="00363E08"/>
    <w:rsid w:val="0036611E"/>
    <w:rsid w:val="00373383"/>
    <w:rsid w:val="0037562E"/>
    <w:rsid w:val="00385BF9"/>
    <w:rsid w:val="00395696"/>
    <w:rsid w:val="00397CCF"/>
    <w:rsid w:val="003A0AAC"/>
    <w:rsid w:val="003A37D8"/>
    <w:rsid w:val="003A5CDE"/>
    <w:rsid w:val="003A672C"/>
    <w:rsid w:val="003A6D15"/>
    <w:rsid w:val="003A708B"/>
    <w:rsid w:val="003B067A"/>
    <w:rsid w:val="003B4425"/>
    <w:rsid w:val="003E14F2"/>
    <w:rsid w:val="003E2DEF"/>
    <w:rsid w:val="00406DEA"/>
    <w:rsid w:val="00426BA3"/>
    <w:rsid w:val="00432A36"/>
    <w:rsid w:val="004357E2"/>
    <w:rsid w:val="00440ACF"/>
    <w:rsid w:val="00477CE5"/>
    <w:rsid w:val="004804E6"/>
    <w:rsid w:val="00480711"/>
    <w:rsid w:val="00486DEB"/>
    <w:rsid w:val="00491A3E"/>
    <w:rsid w:val="00495E6D"/>
    <w:rsid w:val="004A01C4"/>
    <w:rsid w:val="004A4505"/>
    <w:rsid w:val="004A7884"/>
    <w:rsid w:val="004B090D"/>
    <w:rsid w:val="004B4F03"/>
    <w:rsid w:val="004C2305"/>
    <w:rsid w:val="004D5768"/>
    <w:rsid w:val="004E5D20"/>
    <w:rsid w:val="004E6E86"/>
    <w:rsid w:val="004E7557"/>
    <w:rsid w:val="004F1926"/>
    <w:rsid w:val="004F7B84"/>
    <w:rsid w:val="005050A2"/>
    <w:rsid w:val="005258EA"/>
    <w:rsid w:val="00525A72"/>
    <w:rsid w:val="0052734A"/>
    <w:rsid w:val="0052744F"/>
    <w:rsid w:val="00530B6C"/>
    <w:rsid w:val="00532E4E"/>
    <w:rsid w:val="0054053F"/>
    <w:rsid w:val="00545EA5"/>
    <w:rsid w:val="00550D46"/>
    <w:rsid w:val="00557005"/>
    <w:rsid w:val="00560C0C"/>
    <w:rsid w:val="0056787B"/>
    <w:rsid w:val="00572C05"/>
    <w:rsid w:val="00582A71"/>
    <w:rsid w:val="00596DC2"/>
    <w:rsid w:val="005A2704"/>
    <w:rsid w:val="005C22DF"/>
    <w:rsid w:val="005D17E8"/>
    <w:rsid w:val="005D2281"/>
    <w:rsid w:val="005E3BEE"/>
    <w:rsid w:val="00601332"/>
    <w:rsid w:val="00603667"/>
    <w:rsid w:val="00620304"/>
    <w:rsid w:val="00627B0B"/>
    <w:rsid w:val="006426FD"/>
    <w:rsid w:val="00647C24"/>
    <w:rsid w:val="00650317"/>
    <w:rsid w:val="00652295"/>
    <w:rsid w:val="006654F4"/>
    <w:rsid w:val="00670318"/>
    <w:rsid w:val="0068173B"/>
    <w:rsid w:val="00682C78"/>
    <w:rsid w:val="006834D4"/>
    <w:rsid w:val="006838BA"/>
    <w:rsid w:val="00685EE4"/>
    <w:rsid w:val="006864EA"/>
    <w:rsid w:val="006940F8"/>
    <w:rsid w:val="006A6358"/>
    <w:rsid w:val="006B68D2"/>
    <w:rsid w:val="006C1D30"/>
    <w:rsid w:val="006C3692"/>
    <w:rsid w:val="006C6460"/>
    <w:rsid w:val="006D0C46"/>
    <w:rsid w:val="006D24E1"/>
    <w:rsid w:val="006E69AD"/>
    <w:rsid w:val="006F59CE"/>
    <w:rsid w:val="006F7788"/>
    <w:rsid w:val="0070377B"/>
    <w:rsid w:val="00704BDA"/>
    <w:rsid w:val="00713A03"/>
    <w:rsid w:val="00716F55"/>
    <w:rsid w:val="00721EC4"/>
    <w:rsid w:val="0072358F"/>
    <w:rsid w:val="00724798"/>
    <w:rsid w:val="00732866"/>
    <w:rsid w:val="0073541C"/>
    <w:rsid w:val="00742B06"/>
    <w:rsid w:val="00744850"/>
    <w:rsid w:val="00745D19"/>
    <w:rsid w:val="0074770C"/>
    <w:rsid w:val="00747780"/>
    <w:rsid w:val="00754EFB"/>
    <w:rsid w:val="00757933"/>
    <w:rsid w:val="0076516B"/>
    <w:rsid w:val="00775034"/>
    <w:rsid w:val="00775D4A"/>
    <w:rsid w:val="00776C9F"/>
    <w:rsid w:val="0078259D"/>
    <w:rsid w:val="00792D2E"/>
    <w:rsid w:val="00793EC7"/>
    <w:rsid w:val="0079517B"/>
    <w:rsid w:val="007A3274"/>
    <w:rsid w:val="007A3969"/>
    <w:rsid w:val="007B02AC"/>
    <w:rsid w:val="007B39EC"/>
    <w:rsid w:val="007B538D"/>
    <w:rsid w:val="007B6CD5"/>
    <w:rsid w:val="007C1D74"/>
    <w:rsid w:val="007C3FE7"/>
    <w:rsid w:val="007D5A2D"/>
    <w:rsid w:val="007D6D43"/>
    <w:rsid w:val="007D7B4C"/>
    <w:rsid w:val="007E251F"/>
    <w:rsid w:val="007F5B17"/>
    <w:rsid w:val="00806C4C"/>
    <w:rsid w:val="00806ED7"/>
    <w:rsid w:val="00816668"/>
    <w:rsid w:val="0082494B"/>
    <w:rsid w:val="00827280"/>
    <w:rsid w:val="00832BE9"/>
    <w:rsid w:val="0085115F"/>
    <w:rsid w:val="00851568"/>
    <w:rsid w:val="008557C6"/>
    <w:rsid w:val="00863B7A"/>
    <w:rsid w:val="00865B33"/>
    <w:rsid w:val="008773EE"/>
    <w:rsid w:val="00885A35"/>
    <w:rsid w:val="008943C8"/>
    <w:rsid w:val="008B2331"/>
    <w:rsid w:val="008C1369"/>
    <w:rsid w:val="008D0665"/>
    <w:rsid w:val="008D429B"/>
    <w:rsid w:val="008E3E61"/>
    <w:rsid w:val="008E6363"/>
    <w:rsid w:val="008E6A71"/>
    <w:rsid w:val="008E7A37"/>
    <w:rsid w:val="008F234F"/>
    <w:rsid w:val="009174BB"/>
    <w:rsid w:val="0092478F"/>
    <w:rsid w:val="00925FC9"/>
    <w:rsid w:val="009331FD"/>
    <w:rsid w:val="009333AA"/>
    <w:rsid w:val="00934E05"/>
    <w:rsid w:val="00935891"/>
    <w:rsid w:val="00940044"/>
    <w:rsid w:val="0094249D"/>
    <w:rsid w:val="00945FB0"/>
    <w:rsid w:val="00950CDE"/>
    <w:rsid w:val="00960496"/>
    <w:rsid w:val="009613A2"/>
    <w:rsid w:val="00961EA2"/>
    <w:rsid w:val="00971000"/>
    <w:rsid w:val="0097497E"/>
    <w:rsid w:val="00975C5B"/>
    <w:rsid w:val="00976677"/>
    <w:rsid w:val="009818A0"/>
    <w:rsid w:val="009954C9"/>
    <w:rsid w:val="009A2231"/>
    <w:rsid w:val="009A31DA"/>
    <w:rsid w:val="009A74AD"/>
    <w:rsid w:val="009B74D4"/>
    <w:rsid w:val="009C5CD8"/>
    <w:rsid w:val="009D120F"/>
    <w:rsid w:val="009D278B"/>
    <w:rsid w:val="009D7338"/>
    <w:rsid w:val="009E042D"/>
    <w:rsid w:val="009E0DFB"/>
    <w:rsid w:val="009F09A1"/>
    <w:rsid w:val="009F0AD2"/>
    <w:rsid w:val="009F62E4"/>
    <w:rsid w:val="00A02722"/>
    <w:rsid w:val="00A27C51"/>
    <w:rsid w:val="00A33158"/>
    <w:rsid w:val="00A3727E"/>
    <w:rsid w:val="00A51941"/>
    <w:rsid w:val="00A618DD"/>
    <w:rsid w:val="00A914B8"/>
    <w:rsid w:val="00A972B8"/>
    <w:rsid w:val="00AA02A0"/>
    <w:rsid w:val="00AA039E"/>
    <w:rsid w:val="00AA0D27"/>
    <w:rsid w:val="00AA5010"/>
    <w:rsid w:val="00AA66E2"/>
    <w:rsid w:val="00AB69C2"/>
    <w:rsid w:val="00AC64BC"/>
    <w:rsid w:val="00AD23B5"/>
    <w:rsid w:val="00AF462B"/>
    <w:rsid w:val="00AF7C1B"/>
    <w:rsid w:val="00B0192D"/>
    <w:rsid w:val="00B0594F"/>
    <w:rsid w:val="00B17AA9"/>
    <w:rsid w:val="00B26D30"/>
    <w:rsid w:val="00B27A3A"/>
    <w:rsid w:val="00B3348B"/>
    <w:rsid w:val="00B36F31"/>
    <w:rsid w:val="00B3721E"/>
    <w:rsid w:val="00B429F9"/>
    <w:rsid w:val="00B44D3C"/>
    <w:rsid w:val="00B540E1"/>
    <w:rsid w:val="00B615BD"/>
    <w:rsid w:val="00B6319E"/>
    <w:rsid w:val="00B95657"/>
    <w:rsid w:val="00BA39F3"/>
    <w:rsid w:val="00BA5EA9"/>
    <w:rsid w:val="00BB2B98"/>
    <w:rsid w:val="00BC3F97"/>
    <w:rsid w:val="00BD3C3A"/>
    <w:rsid w:val="00BD4CB1"/>
    <w:rsid w:val="00BE1DD2"/>
    <w:rsid w:val="00BE2640"/>
    <w:rsid w:val="00BF0B6A"/>
    <w:rsid w:val="00BF44E3"/>
    <w:rsid w:val="00BF4CE2"/>
    <w:rsid w:val="00BF650C"/>
    <w:rsid w:val="00C01CDF"/>
    <w:rsid w:val="00C071E5"/>
    <w:rsid w:val="00C268F5"/>
    <w:rsid w:val="00C26C4C"/>
    <w:rsid w:val="00C359CA"/>
    <w:rsid w:val="00C552F0"/>
    <w:rsid w:val="00C61367"/>
    <w:rsid w:val="00C61F89"/>
    <w:rsid w:val="00C66936"/>
    <w:rsid w:val="00C82A0C"/>
    <w:rsid w:val="00C847C1"/>
    <w:rsid w:val="00C90956"/>
    <w:rsid w:val="00CA61CA"/>
    <w:rsid w:val="00CA6C28"/>
    <w:rsid w:val="00CB65A6"/>
    <w:rsid w:val="00CB78AC"/>
    <w:rsid w:val="00CC1069"/>
    <w:rsid w:val="00CC773F"/>
    <w:rsid w:val="00CD14BA"/>
    <w:rsid w:val="00CE6BB8"/>
    <w:rsid w:val="00CF1935"/>
    <w:rsid w:val="00CF4152"/>
    <w:rsid w:val="00D00608"/>
    <w:rsid w:val="00D074CA"/>
    <w:rsid w:val="00D16306"/>
    <w:rsid w:val="00D40704"/>
    <w:rsid w:val="00D67C46"/>
    <w:rsid w:val="00D80FFC"/>
    <w:rsid w:val="00D85451"/>
    <w:rsid w:val="00D87325"/>
    <w:rsid w:val="00DA7B71"/>
    <w:rsid w:val="00DB0852"/>
    <w:rsid w:val="00DB1DFA"/>
    <w:rsid w:val="00DB3DAB"/>
    <w:rsid w:val="00DC18FC"/>
    <w:rsid w:val="00DD5595"/>
    <w:rsid w:val="00DE3F34"/>
    <w:rsid w:val="00E05C4C"/>
    <w:rsid w:val="00E065DD"/>
    <w:rsid w:val="00E06926"/>
    <w:rsid w:val="00E076D8"/>
    <w:rsid w:val="00E15248"/>
    <w:rsid w:val="00E153F9"/>
    <w:rsid w:val="00E156A1"/>
    <w:rsid w:val="00E1779E"/>
    <w:rsid w:val="00E3729F"/>
    <w:rsid w:val="00E439CC"/>
    <w:rsid w:val="00E44A91"/>
    <w:rsid w:val="00E45A91"/>
    <w:rsid w:val="00E510C7"/>
    <w:rsid w:val="00E6365E"/>
    <w:rsid w:val="00E664A1"/>
    <w:rsid w:val="00E7103A"/>
    <w:rsid w:val="00E73768"/>
    <w:rsid w:val="00E918BF"/>
    <w:rsid w:val="00EB0721"/>
    <w:rsid w:val="00EB255F"/>
    <w:rsid w:val="00EB58B9"/>
    <w:rsid w:val="00EB5ACD"/>
    <w:rsid w:val="00EB7248"/>
    <w:rsid w:val="00ED2D29"/>
    <w:rsid w:val="00ED30F2"/>
    <w:rsid w:val="00ED65CD"/>
    <w:rsid w:val="00ED7165"/>
    <w:rsid w:val="00F0101A"/>
    <w:rsid w:val="00F04198"/>
    <w:rsid w:val="00F066DB"/>
    <w:rsid w:val="00F06D4D"/>
    <w:rsid w:val="00F216D6"/>
    <w:rsid w:val="00F2235A"/>
    <w:rsid w:val="00F36B28"/>
    <w:rsid w:val="00F54108"/>
    <w:rsid w:val="00F67A51"/>
    <w:rsid w:val="00F70B6F"/>
    <w:rsid w:val="00F80F36"/>
    <w:rsid w:val="00F81E7C"/>
    <w:rsid w:val="00F95B36"/>
    <w:rsid w:val="00FA7BC0"/>
    <w:rsid w:val="00FB5D64"/>
    <w:rsid w:val="00FB6BEB"/>
    <w:rsid w:val="00FC3B73"/>
    <w:rsid w:val="00FD2F45"/>
    <w:rsid w:val="00FE199A"/>
    <w:rsid w:val="00FE269F"/>
    <w:rsid w:val="00FE2F98"/>
    <w:rsid w:val="00FE6C01"/>
    <w:rsid w:val="012F2443"/>
    <w:rsid w:val="01825488"/>
    <w:rsid w:val="018C0E03"/>
    <w:rsid w:val="01BA61B0"/>
    <w:rsid w:val="01BB516D"/>
    <w:rsid w:val="021B4775"/>
    <w:rsid w:val="02BA0F2C"/>
    <w:rsid w:val="037107BF"/>
    <w:rsid w:val="037979A5"/>
    <w:rsid w:val="03CB3F9B"/>
    <w:rsid w:val="03D42F29"/>
    <w:rsid w:val="03E47515"/>
    <w:rsid w:val="045521C0"/>
    <w:rsid w:val="049814E0"/>
    <w:rsid w:val="053B0618"/>
    <w:rsid w:val="05672E13"/>
    <w:rsid w:val="057C19CF"/>
    <w:rsid w:val="05B52156"/>
    <w:rsid w:val="05DB7E97"/>
    <w:rsid w:val="05DD06BF"/>
    <w:rsid w:val="06836769"/>
    <w:rsid w:val="06EA0626"/>
    <w:rsid w:val="06ED06D9"/>
    <w:rsid w:val="088A7F5F"/>
    <w:rsid w:val="089A4646"/>
    <w:rsid w:val="08A95854"/>
    <w:rsid w:val="08BD7FAD"/>
    <w:rsid w:val="08CF6958"/>
    <w:rsid w:val="090827CD"/>
    <w:rsid w:val="09D81E8C"/>
    <w:rsid w:val="0A0F696E"/>
    <w:rsid w:val="0A1102E2"/>
    <w:rsid w:val="0A480B9C"/>
    <w:rsid w:val="0A7705F9"/>
    <w:rsid w:val="0ABA7B98"/>
    <w:rsid w:val="0B4524FB"/>
    <w:rsid w:val="0BE5112D"/>
    <w:rsid w:val="0BF57DE5"/>
    <w:rsid w:val="0C470F50"/>
    <w:rsid w:val="0C5E57C4"/>
    <w:rsid w:val="0C676F35"/>
    <w:rsid w:val="0D354400"/>
    <w:rsid w:val="0D742563"/>
    <w:rsid w:val="0DDE4FD5"/>
    <w:rsid w:val="0E3A4297"/>
    <w:rsid w:val="0E527771"/>
    <w:rsid w:val="0E8518F4"/>
    <w:rsid w:val="0E963B01"/>
    <w:rsid w:val="0EA855E3"/>
    <w:rsid w:val="0EB06D04"/>
    <w:rsid w:val="0EDF0476"/>
    <w:rsid w:val="0EE77A81"/>
    <w:rsid w:val="0F220B1B"/>
    <w:rsid w:val="0F2664F6"/>
    <w:rsid w:val="0F277E39"/>
    <w:rsid w:val="0FE268D2"/>
    <w:rsid w:val="103510F8"/>
    <w:rsid w:val="10686DD7"/>
    <w:rsid w:val="107365F0"/>
    <w:rsid w:val="107B2A34"/>
    <w:rsid w:val="10FF6E3B"/>
    <w:rsid w:val="1109680C"/>
    <w:rsid w:val="11296A34"/>
    <w:rsid w:val="117774DD"/>
    <w:rsid w:val="11C40985"/>
    <w:rsid w:val="11D16BFE"/>
    <w:rsid w:val="12151156"/>
    <w:rsid w:val="12371157"/>
    <w:rsid w:val="128F4AEF"/>
    <w:rsid w:val="1293615E"/>
    <w:rsid w:val="129E11D6"/>
    <w:rsid w:val="137D5290"/>
    <w:rsid w:val="137D703E"/>
    <w:rsid w:val="13983E78"/>
    <w:rsid w:val="143815AA"/>
    <w:rsid w:val="14401B9A"/>
    <w:rsid w:val="146B158C"/>
    <w:rsid w:val="14E45A3A"/>
    <w:rsid w:val="14E86739"/>
    <w:rsid w:val="14F00C9E"/>
    <w:rsid w:val="151A4A2D"/>
    <w:rsid w:val="159B7C4F"/>
    <w:rsid w:val="15BD5E17"/>
    <w:rsid w:val="160C46A9"/>
    <w:rsid w:val="165A3666"/>
    <w:rsid w:val="16AA639C"/>
    <w:rsid w:val="174707F2"/>
    <w:rsid w:val="1773377D"/>
    <w:rsid w:val="18DE360D"/>
    <w:rsid w:val="19807C1E"/>
    <w:rsid w:val="19AF1F1B"/>
    <w:rsid w:val="1A676352"/>
    <w:rsid w:val="1B1B78AF"/>
    <w:rsid w:val="1B776A68"/>
    <w:rsid w:val="1BCB46BE"/>
    <w:rsid w:val="1C0227D6"/>
    <w:rsid w:val="1C0C42AF"/>
    <w:rsid w:val="1C2370E7"/>
    <w:rsid w:val="1C7544D2"/>
    <w:rsid w:val="1C9D605B"/>
    <w:rsid w:val="1CD6156D"/>
    <w:rsid w:val="1DD27F86"/>
    <w:rsid w:val="1DF36460"/>
    <w:rsid w:val="1F2B35EE"/>
    <w:rsid w:val="20250841"/>
    <w:rsid w:val="20AA343C"/>
    <w:rsid w:val="212E7BC9"/>
    <w:rsid w:val="21FA7AAB"/>
    <w:rsid w:val="22086693"/>
    <w:rsid w:val="22566075"/>
    <w:rsid w:val="2291000C"/>
    <w:rsid w:val="22E63BAE"/>
    <w:rsid w:val="2366364A"/>
    <w:rsid w:val="23737B15"/>
    <w:rsid w:val="25140F7F"/>
    <w:rsid w:val="25761B3F"/>
    <w:rsid w:val="272C6959"/>
    <w:rsid w:val="276460F3"/>
    <w:rsid w:val="27BB03A7"/>
    <w:rsid w:val="27F616E4"/>
    <w:rsid w:val="28EF7C3E"/>
    <w:rsid w:val="29114058"/>
    <w:rsid w:val="29224275"/>
    <w:rsid w:val="29657F00"/>
    <w:rsid w:val="296A1CA7"/>
    <w:rsid w:val="2973261D"/>
    <w:rsid w:val="298F3DBD"/>
    <w:rsid w:val="29D4444C"/>
    <w:rsid w:val="29D924F1"/>
    <w:rsid w:val="29F01EC0"/>
    <w:rsid w:val="2A1536D4"/>
    <w:rsid w:val="2AC05D36"/>
    <w:rsid w:val="2B3B53BD"/>
    <w:rsid w:val="2B812B79"/>
    <w:rsid w:val="2BB60EE7"/>
    <w:rsid w:val="2BE32FF5"/>
    <w:rsid w:val="2BEC6A86"/>
    <w:rsid w:val="2C932FD6"/>
    <w:rsid w:val="2CBC6D61"/>
    <w:rsid w:val="2D4542D1"/>
    <w:rsid w:val="2DE7410E"/>
    <w:rsid w:val="2E7F1A64"/>
    <w:rsid w:val="2EBC4560"/>
    <w:rsid w:val="2F372E8E"/>
    <w:rsid w:val="2F6D3FB3"/>
    <w:rsid w:val="2F792957"/>
    <w:rsid w:val="2F9C6646"/>
    <w:rsid w:val="2FEA7A4C"/>
    <w:rsid w:val="30AB223A"/>
    <w:rsid w:val="30BA4FD6"/>
    <w:rsid w:val="31104BF6"/>
    <w:rsid w:val="31523460"/>
    <w:rsid w:val="31684A32"/>
    <w:rsid w:val="31CE66F0"/>
    <w:rsid w:val="31DB583A"/>
    <w:rsid w:val="32053B90"/>
    <w:rsid w:val="33370B5F"/>
    <w:rsid w:val="333C43C8"/>
    <w:rsid w:val="33941B0E"/>
    <w:rsid w:val="34074FA3"/>
    <w:rsid w:val="34140EA1"/>
    <w:rsid w:val="35154ED0"/>
    <w:rsid w:val="353A4937"/>
    <w:rsid w:val="354911FD"/>
    <w:rsid w:val="35D5640E"/>
    <w:rsid w:val="361D67FF"/>
    <w:rsid w:val="36762977"/>
    <w:rsid w:val="36FD6C55"/>
    <w:rsid w:val="37621F23"/>
    <w:rsid w:val="37BF6F64"/>
    <w:rsid w:val="37D42E21"/>
    <w:rsid w:val="37ED3EE3"/>
    <w:rsid w:val="3836588A"/>
    <w:rsid w:val="38606463"/>
    <w:rsid w:val="38B14F10"/>
    <w:rsid w:val="38C74734"/>
    <w:rsid w:val="393C6ED0"/>
    <w:rsid w:val="39B5458C"/>
    <w:rsid w:val="3A934624"/>
    <w:rsid w:val="3AAF3FCD"/>
    <w:rsid w:val="3ACF72AE"/>
    <w:rsid w:val="3B190B4B"/>
    <w:rsid w:val="3B6E0E96"/>
    <w:rsid w:val="3B844B5E"/>
    <w:rsid w:val="3BCD18ED"/>
    <w:rsid w:val="3CB71834"/>
    <w:rsid w:val="3E887B91"/>
    <w:rsid w:val="3EC05EAD"/>
    <w:rsid w:val="3F367F1D"/>
    <w:rsid w:val="3F674CB6"/>
    <w:rsid w:val="3FCC6AD3"/>
    <w:rsid w:val="409273D5"/>
    <w:rsid w:val="41200E85"/>
    <w:rsid w:val="41432DC5"/>
    <w:rsid w:val="41E974C9"/>
    <w:rsid w:val="42162288"/>
    <w:rsid w:val="437600FE"/>
    <w:rsid w:val="43A538C3"/>
    <w:rsid w:val="443864E5"/>
    <w:rsid w:val="44B0237A"/>
    <w:rsid w:val="44CB1108"/>
    <w:rsid w:val="4538077D"/>
    <w:rsid w:val="4556401B"/>
    <w:rsid w:val="46804174"/>
    <w:rsid w:val="468C14EB"/>
    <w:rsid w:val="46E1485D"/>
    <w:rsid w:val="46E22739"/>
    <w:rsid w:val="46F33CD1"/>
    <w:rsid w:val="47590C4D"/>
    <w:rsid w:val="47A94056"/>
    <w:rsid w:val="48002327"/>
    <w:rsid w:val="480F1C53"/>
    <w:rsid w:val="482E032B"/>
    <w:rsid w:val="485D3817"/>
    <w:rsid w:val="486C0E54"/>
    <w:rsid w:val="487216E8"/>
    <w:rsid w:val="492F0B49"/>
    <w:rsid w:val="4A3414FD"/>
    <w:rsid w:val="4AD44F71"/>
    <w:rsid w:val="4AE03433"/>
    <w:rsid w:val="4B685203"/>
    <w:rsid w:val="4BC019A5"/>
    <w:rsid w:val="4CE56925"/>
    <w:rsid w:val="4D0C49B3"/>
    <w:rsid w:val="4D297313"/>
    <w:rsid w:val="4D703FFF"/>
    <w:rsid w:val="4E6D3574"/>
    <w:rsid w:val="4E8011B5"/>
    <w:rsid w:val="4F0771E0"/>
    <w:rsid w:val="4F0E67C1"/>
    <w:rsid w:val="4F2F3FA1"/>
    <w:rsid w:val="4F624D5E"/>
    <w:rsid w:val="4F674123"/>
    <w:rsid w:val="4FF82FCD"/>
    <w:rsid w:val="50146059"/>
    <w:rsid w:val="502C6426"/>
    <w:rsid w:val="50441F68"/>
    <w:rsid w:val="50746AF7"/>
    <w:rsid w:val="51022355"/>
    <w:rsid w:val="51112598"/>
    <w:rsid w:val="51750D79"/>
    <w:rsid w:val="5224454D"/>
    <w:rsid w:val="53C05F5A"/>
    <w:rsid w:val="53DD2AE1"/>
    <w:rsid w:val="541008E5"/>
    <w:rsid w:val="54216F96"/>
    <w:rsid w:val="5471046A"/>
    <w:rsid w:val="54FC355F"/>
    <w:rsid w:val="55597ADB"/>
    <w:rsid w:val="56625644"/>
    <w:rsid w:val="57004C7A"/>
    <w:rsid w:val="570E431B"/>
    <w:rsid w:val="573009E7"/>
    <w:rsid w:val="573174F0"/>
    <w:rsid w:val="57AE6D93"/>
    <w:rsid w:val="57DB161B"/>
    <w:rsid w:val="582B090E"/>
    <w:rsid w:val="584512B8"/>
    <w:rsid w:val="58D345D7"/>
    <w:rsid w:val="59066BF0"/>
    <w:rsid w:val="59A0095D"/>
    <w:rsid w:val="59B166C6"/>
    <w:rsid w:val="59D23552"/>
    <w:rsid w:val="5A7D47FA"/>
    <w:rsid w:val="5AB87F28"/>
    <w:rsid w:val="5AE24A94"/>
    <w:rsid w:val="5B295556"/>
    <w:rsid w:val="5B750AF9"/>
    <w:rsid w:val="5B9462A0"/>
    <w:rsid w:val="5C2C472A"/>
    <w:rsid w:val="5C6043D4"/>
    <w:rsid w:val="5C841E70"/>
    <w:rsid w:val="5CAB1AF3"/>
    <w:rsid w:val="5D9407D9"/>
    <w:rsid w:val="5DB97FE4"/>
    <w:rsid w:val="5E1C691D"/>
    <w:rsid w:val="5E5D6E1D"/>
    <w:rsid w:val="5F816B3B"/>
    <w:rsid w:val="5FDC7055"/>
    <w:rsid w:val="600608C4"/>
    <w:rsid w:val="60067040"/>
    <w:rsid w:val="604D0DD3"/>
    <w:rsid w:val="607945BC"/>
    <w:rsid w:val="60844B35"/>
    <w:rsid w:val="609B3C2C"/>
    <w:rsid w:val="617050B9"/>
    <w:rsid w:val="61D145ED"/>
    <w:rsid w:val="61D20F2B"/>
    <w:rsid w:val="62137B25"/>
    <w:rsid w:val="627110E9"/>
    <w:rsid w:val="628C5F22"/>
    <w:rsid w:val="62913539"/>
    <w:rsid w:val="6292739D"/>
    <w:rsid w:val="62D376AD"/>
    <w:rsid w:val="62E03578"/>
    <w:rsid w:val="63414F5F"/>
    <w:rsid w:val="637160AB"/>
    <w:rsid w:val="639D1585"/>
    <w:rsid w:val="63BC6393"/>
    <w:rsid w:val="64882719"/>
    <w:rsid w:val="65392EE8"/>
    <w:rsid w:val="65BC6B1F"/>
    <w:rsid w:val="65E44D4C"/>
    <w:rsid w:val="65F067C8"/>
    <w:rsid w:val="65F76563"/>
    <w:rsid w:val="660B53B0"/>
    <w:rsid w:val="66291CDA"/>
    <w:rsid w:val="668D6ECC"/>
    <w:rsid w:val="66A355E9"/>
    <w:rsid w:val="675B4B07"/>
    <w:rsid w:val="677376B1"/>
    <w:rsid w:val="679B2764"/>
    <w:rsid w:val="68281AB8"/>
    <w:rsid w:val="691722BE"/>
    <w:rsid w:val="69937B96"/>
    <w:rsid w:val="69BC750D"/>
    <w:rsid w:val="69E7708D"/>
    <w:rsid w:val="6A415844"/>
    <w:rsid w:val="6B3929BF"/>
    <w:rsid w:val="6C673B72"/>
    <w:rsid w:val="6C9F2CF6"/>
    <w:rsid w:val="6E006A52"/>
    <w:rsid w:val="6E3B07FD"/>
    <w:rsid w:val="6EA939B8"/>
    <w:rsid w:val="6F4D1050"/>
    <w:rsid w:val="6F5F177E"/>
    <w:rsid w:val="6F865AA7"/>
    <w:rsid w:val="6FD97A1B"/>
    <w:rsid w:val="6FE32EFA"/>
    <w:rsid w:val="709E186B"/>
    <w:rsid w:val="70A1703D"/>
    <w:rsid w:val="70AF61D1"/>
    <w:rsid w:val="70CB21E7"/>
    <w:rsid w:val="70FA499F"/>
    <w:rsid w:val="714479C8"/>
    <w:rsid w:val="714D7E5F"/>
    <w:rsid w:val="716F713B"/>
    <w:rsid w:val="71A13140"/>
    <w:rsid w:val="71D2534C"/>
    <w:rsid w:val="72DD6326"/>
    <w:rsid w:val="732E23F9"/>
    <w:rsid w:val="746D19CA"/>
    <w:rsid w:val="74C7103C"/>
    <w:rsid w:val="74D10EC7"/>
    <w:rsid w:val="75571608"/>
    <w:rsid w:val="757E170D"/>
    <w:rsid w:val="75970A0E"/>
    <w:rsid w:val="75DE3F93"/>
    <w:rsid w:val="76236746"/>
    <w:rsid w:val="76317F9B"/>
    <w:rsid w:val="76375D4D"/>
    <w:rsid w:val="769A6A08"/>
    <w:rsid w:val="76B86E8E"/>
    <w:rsid w:val="76D161A2"/>
    <w:rsid w:val="76EF1997"/>
    <w:rsid w:val="76FD6F97"/>
    <w:rsid w:val="770D4C48"/>
    <w:rsid w:val="772F1899"/>
    <w:rsid w:val="77534E09"/>
    <w:rsid w:val="77F43101"/>
    <w:rsid w:val="78085BF3"/>
    <w:rsid w:val="782B18E2"/>
    <w:rsid w:val="7856695F"/>
    <w:rsid w:val="78AF606F"/>
    <w:rsid w:val="79314CD6"/>
    <w:rsid w:val="794C38BE"/>
    <w:rsid w:val="79996046"/>
    <w:rsid w:val="7AA754C8"/>
    <w:rsid w:val="7AEA5A84"/>
    <w:rsid w:val="7B256ABC"/>
    <w:rsid w:val="7B79577B"/>
    <w:rsid w:val="7CE56BFB"/>
    <w:rsid w:val="7CFE1373"/>
    <w:rsid w:val="7D80447E"/>
    <w:rsid w:val="7E0A649D"/>
    <w:rsid w:val="7EF97CE5"/>
    <w:rsid w:val="7F2D4191"/>
    <w:rsid w:val="7FA64B52"/>
    <w:rsid w:val="7FF411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qFormat="1" w:uiPriority="99" w:semiHidden="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仿宋_GB2312" w:hAnsi="Times New Roman" w:eastAsia="仿宋_GB2312" w:cs="Times New Roman"/>
      <w:szCs w:val="36"/>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index 9"/>
    <w:basedOn w:val="1"/>
    <w:next w:val="1"/>
    <w:unhideWhenUsed/>
    <w:qFormat/>
    <w:uiPriority w:val="99"/>
    <w:pPr>
      <w:spacing w:before="100" w:beforeAutospacing="1" w:after="100" w:afterAutospacing="1"/>
      <w:ind w:left="1600" w:leftChars="1600"/>
    </w:pPr>
  </w:style>
  <w:style w:type="paragraph" w:styleId="3">
    <w:name w:val="toa heading"/>
    <w:basedOn w:val="1"/>
    <w:next w:val="1"/>
    <w:qFormat/>
    <w:uiPriority w:val="0"/>
    <w:pPr>
      <w:spacing w:before="120"/>
    </w:pPr>
    <w:rPr>
      <w:rFonts w:ascii="Arial" w:hAnsi="Arial" w:eastAsia="宋体" w:cs="Arial"/>
      <w:sz w:val="24"/>
    </w:rPr>
  </w:style>
  <w:style w:type="paragraph" w:styleId="4">
    <w:name w:val="Body Text Indent"/>
    <w:basedOn w:val="1"/>
    <w:next w:val="1"/>
    <w:unhideWhenUsed/>
    <w:qFormat/>
    <w:uiPriority w:val="99"/>
    <w:pPr>
      <w:spacing w:after="120"/>
      <w:ind w:left="420" w:leftChars="200"/>
    </w:pPr>
  </w:style>
  <w:style w:type="paragraph" w:styleId="5">
    <w:name w:val="Balloon Text"/>
    <w:basedOn w:val="1"/>
    <w:link w:val="15"/>
    <w:unhideWhenUsed/>
    <w:qFormat/>
    <w:uiPriority w:val="99"/>
    <w:rPr>
      <w:sz w:val="18"/>
      <w:szCs w:val="18"/>
      <w:lang w:val="zh-CN"/>
    </w:rPr>
  </w:style>
  <w:style w:type="paragraph" w:styleId="6">
    <w:name w:val="footer"/>
    <w:basedOn w:val="1"/>
    <w:link w:val="16"/>
    <w:unhideWhenUsed/>
    <w:qFormat/>
    <w:uiPriority w:val="0"/>
    <w:pPr>
      <w:tabs>
        <w:tab w:val="center" w:pos="4153"/>
        <w:tab w:val="right" w:pos="8306"/>
      </w:tabs>
      <w:snapToGrid w:val="0"/>
    </w:pPr>
    <w:rPr>
      <w:sz w:val="18"/>
      <w:szCs w:val="18"/>
      <w:lang w:val="zh-CN"/>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lang w:val="zh-CN"/>
    </w:rPr>
  </w:style>
  <w:style w:type="paragraph" w:styleId="8">
    <w:name w:val="Normal (Web)"/>
    <w:basedOn w:val="1"/>
    <w:qFormat/>
    <w:uiPriority w:val="99"/>
    <w:pPr>
      <w:widowControl w:val="0"/>
      <w:spacing w:beforeAutospacing="1" w:afterAutospacing="1" w:line="360" w:lineRule="auto"/>
    </w:pPr>
    <w:rPr>
      <w:rFonts w:ascii="Calibri" w:hAnsi="Calibri" w:eastAsia="宋体"/>
      <w:sz w:val="24"/>
      <w:szCs w:val="24"/>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qFormat/>
    <w:uiPriority w:val="0"/>
  </w:style>
  <w:style w:type="character" w:styleId="13">
    <w:name w:val="Hyperlink"/>
    <w:basedOn w:val="11"/>
    <w:semiHidden/>
    <w:unhideWhenUsed/>
    <w:qFormat/>
    <w:uiPriority w:val="99"/>
    <w:rPr>
      <w:color w:val="0000FF"/>
      <w:u w:val="single"/>
    </w:rPr>
  </w:style>
  <w:style w:type="character" w:customStyle="1" w:styleId="14">
    <w:name w:val="页眉 字符"/>
    <w:link w:val="7"/>
    <w:qFormat/>
    <w:uiPriority w:val="99"/>
    <w:rPr>
      <w:sz w:val="18"/>
      <w:szCs w:val="18"/>
    </w:rPr>
  </w:style>
  <w:style w:type="character" w:customStyle="1" w:styleId="15">
    <w:name w:val="批注框文本 字符"/>
    <w:link w:val="5"/>
    <w:semiHidden/>
    <w:qFormat/>
    <w:uiPriority w:val="99"/>
    <w:rPr>
      <w:sz w:val="18"/>
      <w:szCs w:val="18"/>
    </w:rPr>
  </w:style>
  <w:style w:type="character" w:customStyle="1" w:styleId="16">
    <w:name w:val="页脚 字符1"/>
    <w:link w:val="6"/>
    <w:qFormat/>
    <w:uiPriority w:val="0"/>
    <w:rPr>
      <w:sz w:val="18"/>
      <w:szCs w:val="18"/>
    </w:rPr>
  </w:style>
  <w:style w:type="paragraph" w:customStyle="1" w:styleId="17">
    <w:name w:val="p0"/>
    <w:basedOn w:val="1"/>
    <w:qFormat/>
    <w:uiPriority w:val="0"/>
    <w:pPr>
      <w:spacing w:before="100" w:beforeAutospacing="1" w:after="100" w:afterAutospacing="1" w:line="432" w:lineRule="atLeast"/>
    </w:pPr>
    <w:rPr>
      <w:rFonts w:ascii="宋体" w:hAnsi="宋体" w:eastAsia="宋体" w:cs="宋体"/>
      <w:sz w:val="24"/>
      <w:szCs w:val="24"/>
    </w:rPr>
  </w:style>
  <w:style w:type="paragraph" w:customStyle="1" w:styleId="18">
    <w:name w:val="普通(网站)1"/>
    <w:basedOn w:val="1"/>
    <w:qFormat/>
    <w:uiPriority w:val="0"/>
    <w:pPr>
      <w:spacing w:before="100" w:beforeAutospacing="1" w:after="100" w:afterAutospacing="1"/>
    </w:pPr>
    <w:rPr>
      <w:rFonts w:ascii="宋体" w:hAnsi="宋体" w:eastAsia="宋体"/>
      <w:sz w:val="24"/>
      <w:szCs w:val="22"/>
    </w:rPr>
  </w:style>
  <w:style w:type="paragraph" w:customStyle="1" w:styleId="19">
    <w:name w:val="列出段落1"/>
    <w:basedOn w:val="1"/>
    <w:qFormat/>
    <w:uiPriority w:val="0"/>
    <w:pPr>
      <w:widowControl w:val="0"/>
      <w:ind w:firstLine="420" w:firstLineChars="200"/>
      <w:jc w:val="both"/>
    </w:pPr>
    <w:rPr>
      <w:rFonts w:ascii="Times New Roman" w:eastAsia="宋体"/>
      <w:kern w:val="2"/>
      <w:sz w:val="21"/>
      <w:szCs w:val="21"/>
    </w:rPr>
  </w:style>
  <w:style w:type="character" w:customStyle="1" w:styleId="20">
    <w:name w:val="页脚 字符"/>
    <w:qFormat/>
    <w:uiPriority w:val="99"/>
    <w:rPr>
      <w:sz w:val="18"/>
      <w:szCs w:val="18"/>
    </w:rPr>
  </w:style>
  <w:style w:type="paragraph" w:customStyle="1" w:styleId="21">
    <w:name w:val="Other|1"/>
    <w:basedOn w:val="1"/>
    <w:qFormat/>
    <w:uiPriority w:val="0"/>
    <w:pPr>
      <w:widowControl w:val="0"/>
      <w:spacing w:line="410" w:lineRule="auto"/>
      <w:ind w:firstLine="400"/>
    </w:pPr>
    <w:rPr>
      <w:rFonts w:ascii="宋体" w:hAnsi="宋体" w:eastAsia="宋体" w:cs="宋体"/>
      <w:color w:val="000000"/>
      <w:sz w:val="30"/>
      <w:szCs w:val="30"/>
      <w:lang w:val="zh-TW" w:eastAsia="zh-TW" w:bidi="zh-TW"/>
    </w:rPr>
  </w:style>
  <w:style w:type="paragraph" w:customStyle="1" w:styleId="22">
    <w:name w:val="Body text|1"/>
    <w:basedOn w:val="1"/>
    <w:qFormat/>
    <w:uiPriority w:val="0"/>
    <w:pPr>
      <w:widowControl w:val="0"/>
      <w:spacing w:line="410" w:lineRule="auto"/>
      <w:ind w:firstLine="400"/>
    </w:pPr>
    <w:rPr>
      <w:rFonts w:ascii="宋体" w:hAnsi="宋体" w:eastAsia="宋体" w:cs="宋体"/>
      <w:color w:val="000000"/>
      <w:sz w:val="30"/>
      <w:szCs w:val="30"/>
      <w:lang w:val="zh-TW" w:eastAsia="zh-TW" w:bidi="zh-TW"/>
    </w:rPr>
  </w:style>
  <w:style w:type="paragraph" w:styleId="23">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styleId="24">
    <w:name w:val="List Paragraph"/>
    <w:basedOn w:val="1"/>
    <w:autoRedefine/>
    <w:qFormat/>
    <w:uiPriority w:val="34"/>
    <w:pPr>
      <w:ind w:firstLine="420" w:firstLineChars="200"/>
    </w:pPr>
  </w:style>
  <w:style w:type="paragraph" w:customStyle="1" w:styleId="25">
    <w:name w:val="null5"/>
    <w:hidden/>
    <w:qFormat/>
    <w:uiPriority w:val="0"/>
    <w:rPr>
      <w:rFonts w:hint="eastAsia" w:asciiTheme="minorHAnsi" w:hAnsiTheme="minorHAnsi" w:eastAsiaTheme="minorEastAsia" w:cstheme="minorBidi"/>
      <w:lang w:val="en-US" w:eastAsia="zh-CN" w:bidi="ar-SA"/>
    </w:rPr>
  </w:style>
  <w:style w:type="paragraph" w:customStyle="1" w:styleId="26">
    <w:name w:val="Revision"/>
    <w:hidden/>
    <w:semiHidden/>
    <w:qFormat/>
    <w:uiPriority w:val="99"/>
    <w:rPr>
      <w:rFonts w:ascii="仿宋_GB2312" w:hAnsi="Times New Roman" w:eastAsia="仿宋_GB2312" w:cs="Times New Roman"/>
      <w:szCs w:val="36"/>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16A4480-D02E-4F5C-BB25-7D4A8B5C26DE}">
  <ds:schemaRefs/>
</ds:datastoreItem>
</file>

<file path=docProps/app.xml><?xml version="1.0" encoding="utf-8"?>
<Properties xmlns="http://schemas.openxmlformats.org/officeDocument/2006/extended-properties" xmlns:vt="http://schemas.openxmlformats.org/officeDocument/2006/docPropsVTypes">
  <Template>Normal</Template>
  <Company>sdnu</Company>
  <Pages>12</Pages>
  <Words>4195</Words>
  <Characters>5099</Characters>
  <Lines>48</Lines>
  <Paragraphs>13</Paragraphs>
  <TotalTime>26</TotalTime>
  <ScaleCrop>false</ScaleCrop>
  <LinksUpToDate>false</LinksUpToDate>
  <CharactersWithSpaces>5212</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2026-10-21T08:29:00Z</dcterms:created>
  <dc:creator>wangsong</dc:creator>
  <cp:lastModifiedBy>lenovo</cp:lastModifiedBy>
  <cp:lastPrinted>2019-06-19T06:00:00Z</cp:lastPrinted>
  <dcterms:modified xsi:type="dcterms:W3CDTF">2026-10-22T11:58:23Z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61C2CFCDF5EE4DC5AB69F76A68BFA473_13</vt:lpwstr>
  </property>
  <property fmtid="{D5CDD505-2E9C-101B-9397-08002B2CF9AE}" pid="4" name="KSOTemplateDocerSaveRecord">
    <vt:lpwstr>eyJoZGlkIjoiZTZiYWFkODJjYjQ5YjQxZGZhZGNkOTgwZGM0ZmY2ZTUiLCJ1c2VySWQiOiI5MDk3ODE1NTEifQ==</vt:lpwstr>
  </property>
</Properties>
</file>